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D5ED" w14:textId="77777777" w:rsidR="00457D6F" w:rsidRPr="00422B2F" w:rsidRDefault="00457D6F" w:rsidP="00457D6F">
      <w:pPr>
        <w:rPr>
          <w:rFonts w:ascii="Verdana" w:hAnsi="Verdana" w:cs="Arial"/>
          <w:color w:val="000000"/>
          <w:sz w:val="20"/>
          <w:szCs w:val="20"/>
        </w:rPr>
      </w:pPr>
      <w:r>
        <w:rPr>
          <w:rFonts w:ascii="Verdana" w:hAnsi="Verdana"/>
          <w:b/>
          <w:color w:val="000000"/>
          <w:sz w:val="20"/>
        </w:rPr>
        <w:t xml:space="preserve">Справка: </w:t>
      </w:r>
      <w:r>
        <w:rPr>
          <w:rFonts w:ascii="Verdana" w:hAnsi="Verdana"/>
          <w:b/>
          <w:color w:val="000000"/>
          <w:sz w:val="20"/>
        </w:rPr>
        <w:tab/>
        <w:t>Регламент относно общата безопасност на продуктите (GPSR) ЕС</w:t>
      </w:r>
      <w:r>
        <w:rPr>
          <w:rFonts w:ascii="Verdana" w:hAnsi="Verdana"/>
          <w:color w:val="111111"/>
          <w:sz w:val="20"/>
          <w:shd w:val="clear" w:color="auto" w:fill="FFFFFF"/>
        </w:rPr>
        <w:t xml:space="preserve"> </w:t>
      </w:r>
      <w:r>
        <w:rPr>
          <w:rFonts w:ascii="Verdana" w:hAnsi="Verdana"/>
          <w:b/>
          <w:color w:val="000000"/>
          <w:sz w:val="20"/>
        </w:rPr>
        <w:t>2023/988</w:t>
      </w:r>
    </w:p>
    <w:p w14:paraId="1C31E60D" w14:textId="77777777" w:rsidR="00457D6F" w:rsidRPr="00422B2F" w:rsidRDefault="00457D6F" w:rsidP="00457D6F">
      <w:pPr>
        <w:pStyle w:val="Default"/>
        <w:rPr>
          <w:rFonts w:ascii="Verdana" w:hAnsi="Verdana"/>
          <w:sz w:val="20"/>
          <w:szCs w:val="20"/>
        </w:rPr>
      </w:pPr>
    </w:p>
    <w:p w14:paraId="41534B5A" w14:textId="77777777" w:rsidR="00457D6F" w:rsidRPr="00422B2F" w:rsidRDefault="00457D6F" w:rsidP="00457D6F">
      <w:pPr>
        <w:pStyle w:val="Default"/>
        <w:rPr>
          <w:rFonts w:ascii="Verdana" w:hAnsi="Verdana"/>
          <w:b/>
          <w:bCs/>
          <w:sz w:val="20"/>
          <w:szCs w:val="20"/>
          <w:u w:val="single"/>
        </w:rPr>
      </w:pPr>
      <w:r>
        <w:rPr>
          <w:rFonts w:ascii="Verdana" w:hAnsi="Verdana"/>
          <w:b/>
          <w:sz w:val="20"/>
          <w:u w:val="single"/>
        </w:rPr>
        <w:t>Въведение</w:t>
      </w:r>
    </w:p>
    <w:p w14:paraId="337E923D" w14:textId="77777777" w:rsidR="00457D6F" w:rsidRPr="00422B2F" w:rsidRDefault="00457D6F" w:rsidP="00457D6F">
      <w:pPr>
        <w:pStyle w:val="Default"/>
        <w:rPr>
          <w:rFonts w:ascii="Verdana" w:hAnsi="Verdana"/>
          <w:b/>
          <w:bCs/>
          <w:sz w:val="20"/>
          <w:szCs w:val="20"/>
          <w:u w:val="single"/>
        </w:rPr>
      </w:pPr>
    </w:p>
    <w:p w14:paraId="19BD0022" w14:textId="77777777" w:rsidR="00457D6F" w:rsidRPr="00422B2F" w:rsidRDefault="00457D6F" w:rsidP="00457D6F">
      <w:pPr>
        <w:pStyle w:val="Default"/>
        <w:rPr>
          <w:rFonts w:ascii="Verdana" w:hAnsi="Verdana"/>
          <w:color w:val="auto"/>
          <w:sz w:val="20"/>
          <w:szCs w:val="20"/>
        </w:rPr>
      </w:pPr>
      <w:r>
        <w:rPr>
          <w:rFonts w:ascii="Verdana" w:hAnsi="Verdana"/>
          <w:color w:val="auto"/>
          <w:sz w:val="20"/>
        </w:rPr>
        <w:t>Регламентът относно общата безопасност на продуктите (GPSR – Регламент 2023/988 на ЕС) за продукти, продавани на пазара на Европейския съюз (ЕС) (включително продукти, за които се прилага хармонизирано законодателство), беше въведен, за да се гарантира, че продуктите, продавани в ЕС, отговарят на високи стандарти за безопасност, които защитават здравето и безопасността на потребителите.</w:t>
      </w:r>
    </w:p>
    <w:p w14:paraId="02BAE741" w14:textId="75DF1A7E" w:rsidR="00457D6F" w:rsidRPr="00422B2F" w:rsidRDefault="00457D6F" w:rsidP="00457D6F">
      <w:pPr>
        <w:pStyle w:val="Default"/>
        <w:rPr>
          <w:rFonts w:ascii="Verdana" w:hAnsi="Verdana"/>
          <w:sz w:val="20"/>
          <w:szCs w:val="20"/>
        </w:rPr>
      </w:pPr>
      <w:r>
        <w:rPr>
          <w:rFonts w:ascii="Verdana" w:hAnsi="Verdana"/>
          <w:color w:val="auto"/>
          <w:sz w:val="20"/>
        </w:rPr>
        <w:t>Спирачните накладки и спирачните дискове са критични компоненти в спирачните системи на автомобилите</w:t>
      </w:r>
      <w:r>
        <w:rPr>
          <w:rFonts w:ascii="Verdana" w:hAnsi="Verdana"/>
          <w:sz w:val="20"/>
        </w:rPr>
        <w:t xml:space="preserve"> и осигуряването на съответствието им с GPSR е от съществено значение както за безопасността, така и за качеството, околната среда и нормативните изисквания.</w:t>
      </w:r>
    </w:p>
    <w:p w14:paraId="5746665A" w14:textId="77777777" w:rsidR="00457D6F" w:rsidRPr="00422B2F" w:rsidRDefault="00457D6F" w:rsidP="00457D6F">
      <w:pPr>
        <w:pStyle w:val="Default"/>
        <w:rPr>
          <w:rFonts w:ascii="Verdana" w:hAnsi="Verdana"/>
          <w:sz w:val="20"/>
          <w:szCs w:val="20"/>
        </w:rPr>
      </w:pPr>
      <w:r>
        <w:rPr>
          <w:rFonts w:ascii="Verdana" w:hAnsi="Verdana"/>
          <w:sz w:val="20"/>
        </w:rPr>
        <w:t xml:space="preserve"> </w:t>
      </w:r>
    </w:p>
    <w:p w14:paraId="42D17E50" w14:textId="415D2127" w:rsidR="00457D6F" w:rsidRPr="00DF580E" w:rsidRDefault="00457D6F" w:rsidP="00457D6F">
      <w:pPr>
        <w:pStyle w:val="Default"/>
        <w:rPr>
          <w:rFonts w:ascii="Verdana" w:hAnsi="Verdana"/>
          <w:b/>
          <w:bCs/>
          <w:sz w:val="20"/>
          <w:szCs w:val="20"/>
          <w:u w:val="single"/>
        </w:rPr>
      </w:pPr>
      <w:bookmarkStart w:id="0" w:name="_Hlk188447919"/>
      <w:r>
        <w:rPr>
          <w:rFonts w:ascii="Verdana" w:hAnsi="Verdana"/>
          <w:b/>
          <w:sz w:val="20"/>
          <w:u w:val="single"/>
        </w:rPr>
        <w:t xml:space="preserve">Описание на продукта за спирачни накладки за мотоциклети и автомобили </w:t>
      </w:r>
    </w:p>
    <w:bookmarkEnd w:id="0"/>
    <w:p w14:paraId="79E797F4" w14:textId="77777777" w:rsidR="00457D6F" w:rsidRPr="00DF580E" w:rsidRDefault="00457D6F" w:rsidP="00457D6F">
      <w:pPr>
        <w:pStyle w:val="Default"/>
        <w:rPr>
          <w:rFonts w:ascii="Verdana" w:hAnsi="Verdana"/>
          <w:b/>
          <w:bCs/>
          <w:sz w:val="20"/>
          <w:szCs w:val="20"/>
          <w:u w:val="single"/>
        </w:rPr>
      </w:pPr>
    </w:p>
    <w:p w14:paraId="44BD6420" w14:textId="77777777" w:rsidR="00457D6F" w:rsidRPr="00DF580E" w:rsidRDefault="00457D6F" w:rsidP="00457D6F">
      <w:pPr>
        <w:pStyle w:val="Default"/>
        <w:numPr>
          <w:ilvl w:val="0"/>
          <w:numId w:val="1"/>
        </w:numPr>
        <w:rPr>
          <w:rFonts w:ascii="Verdana" w:hAnsi="Verdana"/>
          <w:sz w:val="20"/>
          <w:szCs w:val="20"/>
        </w:rPr>
      </w:pPr>
      <w:r>
        <w:rPr>
          <w:rFonts w:ascii="Verdana" w:hAnsi="Verdana"/>
          <w:b/>
          <w:sz w:val="20"/>
        </w:rPr>
        <w:t>Функция</w:t>
      </w:r>
      <w:r>
        <w:rPr>
          <w:rFonts w:ascii="Verdana" w:hAnsi="Verdana"/>
          <w:sz w:val="20"/>
        </w:rPr>
        <w:t>: Спирачните накладки са проектирани да създават триене, когато са притиснати към спирачния диск, което позволява на автомобилите да намаляват скоростта или да спират ефективно.</w:t>
      </w:r>
    </w:p>
    <w:p w14:paraId="30B6FC76" w14:textId="77777777" w:rsidR="00457D6F" w:rsidRPr="00DF580E" w:rsidRDefault="00457D6F" w:rsidP="00457D6F">
      <w:pPr>
        <w:pStyle w:val="Default"/>
        <w:numPr>
          <w:ilvl w:val="0"/>
          <w:numId w:val="1"/>
        </w:numPr>
        <w:rPr>
          <w:rFonts w:ascii="Verdana" w:hAnsi="Verdana"/>
          <w:sz w:val="20"/>
          <w:szCs w:val="20"/>
        </w:rPr>
      </w:pPr>
      <w:bookmarkStart w:id="1" w:name="_Hlk188448356"/>
      <w:r>
        <w:rPr>
          <w:rFonts w:ascii="Verdana" w:hAnsi="Verdana"/>
          <w:b/>
          <w:sz w:val="20"/>
        </w:rPr>
        <w:t>Състав на материала</w:t>
      </w:r>
      <w:r>
        <w:rPr>
          <w:rFonts w:ascii="Verdana" w:hAnsi="Verdana"/>
          <w:sz w:val="20"/>
        </w:rPr>
        <w:t>: Спирачните накладки са изработени от смес от материали, като метал, керамика и органични съединения, внимателно подбрани с оглед на тяхната издръжливост, безопасност и експлоатационни характеристики.</w:t>
      </w:r>
    </w:p>
    <w:bookmarkEnd w:id="1"/>
    <w:p w14:paraId="770016BA" w14:textId="77777777" w:rsidR="00457D6F" w:rsidRPr="00DF580E" w:rsidRDefault="00457D6F" w:rsidP="00457D6F">
      <w:pPr>
        <w:pStyle w:val="Default"/>
        <w:numPr>
          <w:ilvl w:val="0"/>
          <w:numId w:val="1"/>
        </w:numPr>
        <w:rPr>
          <w:rFonts w:ascii="Verdana" w:hAnsi="Verdana"/>
          <w:sz w:val="20"/>
          <w:szCs w:val="20"/>
        </w:rPr>
      </w:pPr>
      <w:r>
        <w:rPr>
          <w:rFonts w:ascii="Verdana" w:hAnsi="Verdana"/>
          <w:b/>
          <w:sz w:val="20"/>
        </w:rPr>
        <w:t>Целеви приложения</w:t>
      </w:r>
      <w:r>
        <w:rPr>
          <w:rFonts w:ascii="Verdana" w:hAnsi="Verdana"/>
          <w:sz w:val="20"/>
        </w:rPr>
        <w:t>: Тези спирачни накладки се използват в леки и лекотоварни автомобили, мотоциклети и др.</w:t>
      </w:r>
    </w:p>
    <w:p w14:paraId="5974D1EF" w14:textId="77777777" w:rsidR="00457D6F" w:rsidRPr="00DF580E" w:rsidRDefault="00457D6F" w:rsidP="00457D6F">
      <w:pPr>
        <w:pStyle w:val="Default"/>
        <w:numPr>
          <w:ilvl w:val="0"/>
          <w:numId w:val="1"/>
        </w:numPr>
        <w:rPr>
          <w:rFonts w:ascii="Verdana" w:hAnsi="Verdana"/>
          <w:sz w:val="20"/>
          <w:szCs w:val="20"/>
        </w:rPr>
      </w:pPr>
      <w:r>
        <w:rPr>
          <w:rFonts w:ascii="Verdana" w:hAnsi="Verdana"/>
          <w:b/>
          <w:sz w:val="20"/>
        </w:rPr>
        <w:t>Размер и варианти</w:t>
      </w:r>
      <w:r>
        <w:rPr>
          <w:rFonts w:ascii="Verdana" w:hAnsi="Verdana"/>
          <w:sz w:val="20"/>
        </w:rPr>
        <w:t>: Предлагат се различни размери и дизайни, за да могат да се монтират на различни модели автомобили и спирачни системи.</w:t>
      </w:r>
    </w:p>
    <w:p w14:paraId="71A69B1B" w14:textId="77777777" w:rsidR="00457D6F" w:rsidRPr="00A43A3F" w:rsidRDefault="00457D6F" w:rsidP="00457D6F">
      <w:pPr>
        <w:pStyle w:val="Default"/>
        <w:rPr>
          <w:rFonts w:ascii="Verdana" w:hAnsi="Verdana"/>
          <w:sz w:val="20"/>
          <w:szCs w:val="20"/>
          <w:highlight w:val="yellow"/>
        </w:rPr>
      </w:pPr>
    </w:p>
    <w:p w14:paraId="46128D20" w14:textId="45074C4C" w:rsidR="00422B2F" w:rsidRPr="00DF580E" w:rsidRDefault="00422B2F" w:rsidP="00422B2F">
      <w:pPr>
        <w:pStyle w:val="Default"/>
        <w:rPr>
          <w:rFonts w:ascii="Verdana" w:hAnsi="Verdana"/>
          <w:b/>
          <w:bCs/>
          <w:sz w:val="20"/>
          <w:szCs w:val="20"/>
          <w:u w:val="single"/>
        </w:rPr>
      </w:pPr>
      <w:r>
        <w:rPr>
          <w:rFonts w:ascii="Verdana" w:hAnsi="Verdana"/>
          <w:b/>
          <w:sz w:val="20"/>
          <w:u w:val="single"/>
        </w:rPr>
        <w:t>Описание на продукта за спирачни дискове за мотоциклети и автомобили</w:t>
      </w:r>
    </w:p>
    <w:p w14:paraId="1184AF2D" w14:textId="77777777" w:rsidR="00422B2F" w:rsidRPr="00DF580E" w:rsidRDefault="00422B2F" w:rsidP="00457D6F">
      <w:pPr>
        <w:pStyle w:val="Default"/>
        <w:rPr>
          <w:rFonts w:ascii="Verdana" w:hAnsi="Verdana"/>
          <w:sz w:val="20"/>
          <w:szCs w:val="20"/>
        </w:rPr>
      </w:pPr>
    </w:p>
    <w:p w14:paraId="022C749B" w14:textId="2FE154FA" w:rsidR="00422B2F" w:rsidRPr="00EB5263" w:rsidRDefault="00B8041C" w:rsidP="00EB5263">
      <w:pPr>
        <w:pStyle w:val="Default"/>
        <w:numPr>
          <w:ilvl w:val="0"/>
          <w:numId w:val="6"/>
        </w:numPr>
        <w:rPr>
          <w:rFonts w:ascii="Verdana" w:hAnsi="Verdana" w:cs="Vrinda"/>
          <w:b/>
          <w:bCs/>
          <w:color w:val="000000" w:themeColor="text1"/>
          <w:sz w:val="20"/>
          <w:szCs w:val="20"/>
        </w:rPr>
      </w:pPr>
      <w:r>
        <w:rPr>
          <w:rFonts w:ascii="Verdana" w:hAnsi="Verdana"/>
          <w:b/>
          <w:color w:val="000000" w:themeColor="text1"/>
          <w:sz w:val="20"/>
        </w:rPr>
        <w:t>Функция</w:t>
      </w:r>
      <w:r>
        <w:rPr>
          <w:rFonts w:ascii="Verdana" w:hAnsi="Verdana"/>
          <w:color w:val="000000" w:themeColor="text1"/>
          <w:sz w:val="20"/>
        </w:rPr>
        <w:t xml:space="preserve">: Спирачните дискове са проектирани </w:t>
      </w:r>
      <w:r>
        <w:rPr>
          <w:rFonts w:ascii="Verdana" w:hAnsi="Verdana"/>
          <w:color w:val="000000" w:themeColor="text1"/>
          <w:sz w:val="20"/>
          <w:shd w:val="clear" w:color="auto" w:fill="FFFFFF"/>
        </w:rPr>
        <w:t>да се въртят заедно с колелата. Спирачните накладки, монтирани на спирачните апарати, се притискат към тези ротори, за да спрат или забавят колелата. При задействане на спирачната система спирачните накладки се притискат към роторите, което създава триене и превръща кинетичната енергия в топлинна.</w:t>
      </w:r>
    </w:p>
    <w:p w14:paraId="3E552E7A" w14:textId="265EC8C0" w:rsidR="00B8041C" w:rsidRPr="00EB5263" w:rsidRDefault="00B8041C" w:rsidP="00422B2F">
      <w:pPr>
        <w:pStyle w:val="Default"/>
        <w:numPr>
          <w:ilvl w:val="0"/>
          <w:numId w:val="1"/>
        </w:numPr>
        <w:rPr>
          <w:rFonts w:ascii="Verdana" w:hAnsi="Verdana"/>
          <w:color w:val="000000" w:themeColor="text1"/>
          <w:sz w:val="20"/>
          <w:szCs w:val="20"/>
        </w:rPr>
      </w:pPr>
      <w:r>
        <w:rPr>
          <w:rFonts w:ascii="Verdana" w:hAnsi="Verdana"/>
          <w:b/>
          <w:color w:val="000000" w:themeColor="text1"/>
          <w:sz w:val="20"/>
        </w:rPr>
        <w:t>Състав на материала</w:t>
      </w:r>
      <w:r>
        <w:rPr>
          <w:rFonts w:ascii="Verdana" w:hAnsi="Verdana"/>
          <w:color w:val="000000" w:themeColor="text1"/>
          <w:sz w:val="20"/>
        </w:rPr>
        <w:t>: Спирачните дискове са изработени от чугун, неръждаема и мека стомана в зависимост от приложението и са внимателно подбрани по отношение на тяхната издръжливост, безопасност и експлоатационни характеристики.</w:t>
      </w:r>
    </w:p>
    <w:p w14:paraId="1403165C" w14:textId="7024F161" w:rsidR="00A43A3F" w:rsidRDefault="00A43A3F" w:rsidP="00A43A3F">
      <w:pPr>
        <w:pStyle w:val="Default"/>
        <w:numPr>
          <w:ilvl w:val="0"/>
          <w:numId w:val="1"/>
        </w:numPr>
        <w:rPr>
          <w:rFonts w:ascii="Verdana" w:hAnsi="Verdana"/>
          <w:sz w:val="20"/>
          <w:szCs w:val="20"/>
        </w:rPr>
      </w:pPr>
      <w:r>
        <w:rPr>
          <w:rFonts w:ascii="Verdana" w:hAnsi="Verdana"/>
          <w:b/>
          <w:sz w:val="20"/>
        </w:rPr>
        <w:t>Целеви приложения</w:t>
      </w:r>
      <w:r>
        <w:rPr>
          <w:rFonts w:ascii="Verdana" w:hAnsi="Verdana"/>
          <w:sz w:val="20"/>
        </w:rPr>
        <w:t>: Тези спирачни дискове се използват в леки и лекотоварни автомобили, мотоциклети.</w:t>
      </w:r>
    </w:p>
    <w:p w14:paraId="60596E8F" w14:textId="3C497F8E" w:rsidR="00422B2F" w:rsidRPr="00B8041C" w:rsidRDefault="00A43A3F" w:rsidP="00457D6F">
      <w:pPr>
        <w:pStyle w:val="Default"/>
        <w:numPr>
          <w:ilvl w:val="0"/>
          <w:numId w:val="1"/>
        </w:numPr>
        <w:rPr>
          <w:rFonts w:ascii="Verdana" w:hAnsi="Verdana"/>
          <w:sz w:val="20"/>
          <w:szCs w:val="20"/>
        </w:rPr>
      </w:pPr>
      <w:r>
        <w:rPr>
          <w:rFonts w:ascii="Verdana" w:hAnsi="Verdana"/>
          <w:b/>
          <w:sz w:val="20"/>
        </w:rPr>
        <w:t>Размер и варианти</w:t>
      </w:r>
      <w:r>
        <w:rPr>
          <w:rFonts w:ascii="Verdana" w:hAnsi="Verdana"/>
          <w:sz w:val="20"/>
        </w:rPr>
        <w:t>: Предлагат се различни размери и дизайни, за да могат да се монтират на различни модели автомобили и спирачни системи</w:t>
      </w:r>
    </w:p>
    <w:p w14:paraId="4C1A7A1B" w14:textId="77777777" w:rsidR="00422B2F" w:rsidRPr="00422B2F" w:rsidRDefault="00422B2F" w:rsidP="00457D6F">
      <w:pPr>
        <w:pStyle w:val="Default"/>
        <w:rPr>
          <w:rFonts w:ascii="Verdana" w:hAnsi="Verdana"/>
          <w:b/>
          <w:bCs/>
          <w:sz w:val="20"/>
          <w:szCs w:val="20"/>
        </w:rPr>
      </w:pPr>
    </w:p>
    <w:p w14:paraId="1F99607C" w14:textId="61F3413C" w:rsidR="00457D6F" w:rsidRPr="00422B2F" w:rsidRDefault="00457D6F" w:rsidP="00457D6F">
      <w:pPr>
        <w:pStyle w:val="Default"/>
        <w:rPr>
          <w:rFonts w:ascii="Verdana" w:hAnsi="Verdana"/>
          <w:sz w:val="20"/>
          <w:szCs w:val="20"/>
        </w:rPr>
      </w:pPr>
      <w:r>
        <w:rPr>
          <w:rFonts w:ascii="Verdana" w:hAnsi="Verdana"/>
          <w:b/>
          <w:sz w:val="20"/>
        </w:rPr>
        <w:t>Техническа документация</w:t>
      </w:r>
      <w:r>
        <w:rPr>
          <w:rFonts w:ascii="Verdana" w:hAnsi="Verdana"/>
          <w:sz w:val="20"/>
        </w:rPr>
        <w:t>: Производителят поддържа подробна техническа документация, включваща:</w:t>
      </w:r>
    </w:p>
    <w:p w14:paraId="5A172A52" w14:textId="77777777" w:rsidR="00457D6F" w:rsidRPr="00422B2F" w:rsidRDefault="00457D6F" w:rsidP="00457D6F">
      <w:pPr>
        <w:pStyle w:val="Default"/>
        <w:rPr>
          <w:rFonts w:ascii="Verdana" w:hAnsi="Verdana"/>
          <w:sz w:val="20"/>
          <w:szCs w:val="20"/>
        </w:rPr>
      </w:pPr>
    </w:p>
    <w:p w14:paraId="45BF6B3F"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Процесите на проектиране и производство.</w:t>
      </w:r>
    </w:p>
    <w:p w14:paraId="5B823976"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Резултатите от изпитванията за безопасност и ефективност.</w:t>
      </w:r>
    </w:p>
    <w:p w14:paraId="2DE33B16"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Оценки на риска и мерки за смекчаването му.</w:t>
      </w:r>
    </w:p>
    <w:p w14:paraId="015E7EF5"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Сертификати за съответствие от акредитирани лаборатории за изпитване</w:t>
      </w:r>
    </w:p>
    <w:p w14:paraId="213926D1" w14:textId="77777777" w:rsidR="00457D6F" w:rsidRPr="00422B2F" w:rsidRDefault="00457D6F" w:rsidP="00457D6F">
      <w:pPr>
        <w:pStyle w:val="Default"/>
        <w:rPr>
          <w:rFonts w:ascii="Verdana" w:hAnsi="Verdana"/>
          <w:sz w:val="20"/>
          <w:szCs w:val="20"/>
        </w:rPr>
      </w:pPr>
    </w:p>
    <w:p w14:paraId="2892E10B" w14:textId="77777777" w:rsidR="00457D6F" w:rsidRPr="00422B2F" w:rsidRDefault="00457D6F" w:rsidP="00457D6F">
      <w:pPr>
        <w:pStyle w:val="Default"/>
        <w:rPr>
          <w:rFonts w:ascii="Verdana" w:hAnsi="Verdana"/>
          <w:b/>
          <w:bCs/>
          <w:sz w:val="20"/>
          <w:szCs w:val="20"/>
          <w:u w:val="single"/>
        </w:rPr>
      </w:pPr>
      <w:r>
        <w:rPr>
          <w:rFonts w:ascii="Verdana" w:hAnsi="Verdana"/>
          <w:b/>
          <w:sz w:val="20"/>
          <w:u w:val="single"/>
        </w:rPr>
        <w:t>Регламенти</w:t>
      </w:r>
    </w:p>
    <w:p w14:paraId="0F455ACF" w14:textId="77777777" w:rsidR="00C3368F" w:rsidRDefault="00C3368F" w:rsidP="00457D6F">
      <w:pPr>
        <w:pStyle w:val="Default"/>
        <w:rPr>
          <w:rFonts w:ascii="Verdana" w:hAnsi="Verdana"/>
          <w:sz w:val="20"/>
          <w:szCs w:val="20"/>
        </w:rPr>
      </w:pPr>
    </w:p>
    <w:p w14:paraId="3BD117FF" w14:textId="3E52F31C" w:rsidR="00457D6F" w:rsidRPr="00422B2F" w:rsidRDefault="00457D6F" w:rsidP="00457D6F">
      <w:pPr>
        <w:pStyle w:val="Default"/>
        <w:rPr>
          <w:rFonts w:ascii="Verdana" w:hAnsi="Verdana"/>
          <w:sz w:val="20"/>
          <w:szCs w:val="20"/>
        </w:rPr>
      </w:pPr>
      <w:r>
        <w:rPr>
          <w:rFonts w:ascii="Verdana" w:hAnsi="Verdana"/>
          <w:sz w:val="20"/>
        </w:rPr>
        <w:t>По-долу сме описали някои от основните членове на Регламента и сме показали как нашите продукти отговарят на тези изисквания:</w:t>
      </w:r>
    </w:p>
    <w:p w14:paraId="5F9257BB" w14:textId="77777777" w:rsidR="00457D6F" w:rsidRPr="00422B2F" w:rsidRDefault="00457D6F" w:rsidP="00457D6F">
      <w:pPr>
        <w:pStyle w:val="Default"/>
        <w:rPr>
          <w:rFonts w:ascii="Verdana" w:hAnsi="Verdana"/>
          <w:b/>
          <w:bCs/>
          <w:color w:val="auto"/>
          <w:sz w:val="20"/>
          <w:szCs w:val="20"/>
        </w:rPr>
      </w:pPr>
    </w:p>
    <w:p w14:paraId="0C3C8B09" w14:textId="77777777" w:rsidR="00457D6F" w:rsidRPr="00422B2F" w:rsidRDefault="00457D6F" w:rsidP="00457D6F">
      <w:pPr>
        <w:pStyle w:val="Default"/>
        <w:rPr>
          <w:rFonts w:ascii="Verdana" w:hAnsi="Verdana"/>
          <w:b/>
          <w:bCs/>
          <w:color w:val="auto"/>
          <w:sz w:val="20"/>
          <w:szCs w:val="20"/>
        </w:rPr>
      </w:pPr>
      <w:r>
        <w:rPr>
          <w:rFonts w:ascii="Verdana" w:hAnsi="Verdana"/>
          <w:b/>
          <w:color w:val="auto"/>
          <w:sz w:val="20"/>
        </w:rPr>
        <w:t>Член 5</w:t>
      </w:r>
    </w:p>
    <w:p w14:paraId="09AE938B" w14:textId="77777777" w:rsidR="00457D6F" w:rsidRPr="00422B2F" w:rsidRDefault="00457D6F" w:rsidP="00457D6F">
      <w:pPr>
        <w:pStyle w:val="Default"/>
        <w:rPr>
          <w:rFonts w:ascii="Verdana" w:hAnsi="Verdana"/>
          <w:color w:val="auto"/>
          <w:sz w:val="20"/>
          <w:szCs w:val="20"/>
        </w:rPr>
      </w:pPr>
      <w:r>
        <w:rPr>
          <w:rFonts w:ascii="Verdana" w:hAnsi="Verdana"/>
          <w:color w:val="auto"/>
          <w:sz w:val="20"/>
        </w:rPr>
        <w:t>Общо изискване за безопасност: В качеството си на икономически оператор ние следва да пускаме или да предоставяме на пазара само безопасни продукти.</w:t>
      </w:r>
    </w:p>
    <w:p w14:paraId="095EE29D" w14:textId="77777777" w:rsidR="00457D6F" w:rsidRPr="00422B2F" w:rsidRDefault="00457D6F" w:rsidP="00457D6F">
      <w:pPr>
        <w:pStyle w:val="Default"/>
        <w:rPr>
          <w:rFonts w:ascii="Verdana" w:hAnsi="Verdana"/>
          <w:color w:val="auto"/>
          <w:sz w:val="20"/>
          <w:szCs w:val="20"/>
        </w:rPr>
      </w:pPr>
    </w:p>
    <w:p w14:paraId="18284D78" w14:textId="77777777" w:rsidR="00457D6F" w:rsidRPr="00422B2F" w:rsidRDefault="00457D6F" w:rsidP="00457D6F">
      <w:pPr>
        <w:pStyle w:val="Default"/>
        <w:rPr>
          <w:rFonts w:ascii="Verdana" w:hAnsi="Verdana"/>
          <w:b/>
          <w:bCs/>
          <w:color w:val="auto"/>
          <w:sz w:val="20"/>
          <w:szCs w:val="20"/>
        </w:rPr>
      </w:pPr>
      <w:r>
        <w:rPr>
          <w:rFonts w:ascii="Verdana" w:hAnsi="Verdana"/>
          <w:b/>
          <w:color w:val="auto"/>
          <w:sz w:val="20"/>
        </w:rPr>
        <w:t>Член 6</w:t>
      </w:r>
    </w:p>
    <w:p w14:paraId="5D30C36B" w14:textId="77777777" w:rsidR="00457D6F" w:rsidRPr="00422B2F" w:rsidRDefault="00457D6F" w:rsidP="00457D6F">
      <w:pPr>
        <w:pStyle w:val="Default"/>
        <w:rPr>
          <w:rFonts w:ascii="Verdana" w:hAnsi="Verdana"/>
          <w:sz w:val="20"/>
          <w:szCs w:val="20"/>
        </w:rPr>
      </w:pPr>
      <w:r>
        <w:rPr>
          <w:rFonts w:ascii="Verdana" w:hAnsi="Verdana"/>
          <w:color w:val="auto"/>
          <w:sz w:val="20"/>
        </w:rPr>
        <w:t xml:space="preserve">Аспекти при оценяване на безопасността на продуктите: Когато преценяваме дали нашите продукти са безопасни, вземаме предвид по-специално следните аспекти, включително при дизайна, </w:t>
      </w:r>
      <w:r>
        <w:rPr>
          <w:rFonts w:ascii="Verdana" w:hAnsi="Verdana"/>
          <w:sz w:val="20"/>
        </w:rPr>
        <w:t>технически характеристики, състав, опаковка, инструкции за сглобяване и когато е приложимо, за инсталиране, ползване и поддръжка. Инструкциите за инсталиране са включени в комплектацията на продуктите, а също така са достъпни и онлайн.</w:t>
      </w:r>
    </w:p>
    <w:p w14:paraId="32C5BD02" w14:textId="77777777" w:rsidR="00457D6F" w:rsidRPr="00422B2F" w:rsidRDefault="00457D6F" w:rsidP="00457D6F">
      <w:pPr>
        <w:pStyle w:val="Default"/>
        <w:rPr>
          <w:rFonts w:ascii="Verdana" w:hAnsi="Verdana"/>
          <w:sz w:val="20"/>
          <w:szCs w:val="20"/>
        </w:rPr>
      </w:pPr>
      <w:r>
        <w:rPr>
          <w:rFonts w:ascii="Verdana" w:hAnsi="Verdana"/>
          <w:sz w:val="20"/>
        </w:rPr>
        <w:t>Оценяваме следните допълнителни аспекти:</w:t>
      </w:r>
    </w:p>
    <w:p w14:paraId="66F0C719" w14:textId="5BECA899" w:rsidR="00457D6F" w:rsidRPr="00EB5263" w:rsidRDefault="00457D6F" w:rsidP="00457D6F">
      <w:pPr>
        <w:pStyle w:val="Default"/>
        <w:numPr>
          <w:ilvl w:val="0"/>
          <w:numId w:val="5"/>
        </w:numPr>
        <w:rPr>
          <w:rFonts w:ascii="Verdana" w:hAnsi="Verdana"/>
          <w:color w:val="000000" w:themeColor="text1"/>
          <w:sz w:val="20"/>
          <w:szCs w:val="20"/>
        </w:rPr>
      </w:pPr>
      <w:r>
        <w:rPr>
          <w:rFonts w:ascii="Verdana" w:hAnsi="Verdana"/>
          <w:sz w:val="20"/>
        </w:rPr>
        <w:t xml:space="preserve">Въздействието върху други продукти, тъй като нашите части може да действат като канал между други елементи (например </w:t>
      </w:r>
      <w:r>
        <w:rPr>
          <w:rFonts w:ascii="Verdana" w:hAnsi="Verdana"/>
          <w:color w:val="000000" w:themeColor="text1"/>
          <w:sz w:val="20"/>
        </w:rPr>
        <w:t>Дискове и спирачни апарати).</w:t>
      </w:r>
    </w:p>
    <w:p w14:paraId="3E12EDF6" w14:textId="77777777" w:rsidR="00457D6F" w:rsidRPr="00422B2F" w:rsidRDefault="00457D6F" w:rsidP="00457D6F">
      <w:pPr>
        <w:pStyle w:val="Default"/>
        <w:numPr>
          <w:ilvl w:val="0"/>
          <w:numId w:val="5"/>
        </w:numPr>
        <w:rPr>
          <w:rFonts w:ascii="Verdana" w:hAnsi="Verdana"/>
          <w:sz w:val="20"/>
          <w:szCs w:val="20"/>
        </w:rPr>
      </w:pPr>
      <w:r>
        <w:rPr>
          <w:rFonts w:ascii="Verdana" w:hAnsi="Verdana"/>
          <w:sz w:val="20"/>
        </w:rPr>
        <w:t>Въздействието, което други продукти могат да имат върху нашите продукти, когато това може разумно да се предвиди.</w:t>
      </w:r>
    </w:p>
    <w:p w14:paraId="773FD513" w14:textId="77777777" w:rsidR="00457D6F" w:rsidRPr="00422B2F" w:rsidRDefault="00457D6F" w:rsidP="00457D6F">
      <w:pPr>
        <w:pStyle w:val="Default"/>
        <w:numPr>
          <w:ilvl w:val="0"/>
          <w:numId w:val="5"/>
        </w:numPr>
        <w:rPr>
          <w:rFonts w:ascii="Verdana" w:hAnsi="Verdana"/>
          <w:sz w:val="20"/>
          <w:szCs w:val="20"/>
        </w:rPr>
      </w:pPr>
      <w:r>
        <w:rPr>
          <w:rFonts w:ascii="Verdana" w:hAnsi="Verdana"/>
          <w:sz w:val="20"/>
        </w:rPr>
        <w:t>Представянето на продуктите, етикетирането им, предупрежденията и инструкциите за безопасна употреба.</w:t>
      </w:r>
    </w:p>
    <w:p w14:paraId="66DE2A84" w14:textId="77777777" w:rsidR="00457D6F" w:rsidRPr="00422B2F" w:rsidRDefault="00457D6F" w:rsidP="00457D6F">
      <w:pPr>
        <w:pStyle w:val="Default"/>
        <w:numPr>
          <w:ilvl w:val="0"/>
          <w:numId w:val="5"/>
        </w:numPr>
        <w:rPr>
          <w:rFonts w:ascii="Verdana" w:hAnsi="Verdana"/>
          <w:sz w:val="20"/>
          <w:szCs w:val="20"/>
        </w:rPr>
      </w:pPr>
      <w:r>
        <w:rPr>
          <w:rFonts w:ascii="Verdana" w:hAnsi="Verdana"/>
          <w:sz w:val="20"/>
        </w:rPr>
        <w:t>Пригодността на нашите продукти за различни групи потребители, включително лица с увреждания, и последиците за тяхната безопасност.</w:t>
      </w:r>
    </w:p>
    <w:p w14:paraId="74120A74" w14:textId="77777777" w:rsidR="00457D6F" w:rsidRPr="00422B2F" w:rsidRDefault="00457D6F" w:rsidP="00457D6F">
      <w:pPr>
        <w:pStyle w:val="Default"/>
        <w:rPr>
          <w:rFonts w:ascii="Verdana" w:hAnsi="Verdana"/>
          <w:color w:val="auto"/>
          <w:sz w:val="20"/>
          <w:szCs w:val="20"/>
        </w:rPr>
      </w:pPr>
    </w:p>
    <w:p w14:paraId="5E6FB5FE" w14:textId="4FEE0545" w:rsidR="00457D6F" w:rsidRPr="00422B2F" w:rsidRDefault="00457D6F" w:rsidP="00457D6F">
      <w:pPr>
        <w:pStyle w:val="Default"/>
        <w:rPr>
          <w:rFonts w:ascii="Verdana" w:hAnsi="Verdana"/>
          <w:b/>
          <w:bCs/>
          <w:color w:val="auto"/>
          <w:sz w:val="20"/>
          <w:szCs w:val="20"/>
        </w:rPr>
      </w:pPr>
      <w:r>
        <w:rPr>
          <w:rFonts w:ascii="Verdana" w:hAnsi="Verdana"/>
          <w:b/>
          <w:color w:val="auto"/>
          <w:sz w:val="20"/>
        </w:rPr>
        <w:t>Членове 7 и 8</w:t>
      </w:r>
    </w:p>
    <w:p w14:paraId="7EA5AF01" w14:textId="0D01D4CB" w:rsidR="00457D6F" w:rsidRDefault="00457D6F" w:rsidP="00457D6F">
      <w:pPr>
        <w:pStyle w:val="Default"/>
        <w:rPr>
          <w:rFonts w:ascii="Verdana" w:hAnsi="Verdana"/>
          <w:sz w:val="20"/>
          <w:szCs w:val="20"/>
        </w:rPr>
      </w:pPr>
      <w:r>
        <w:rPr>
          <w:rFonts w:ascii="Verdana" w:hAnsi="Verdana"/>
          <w:sz w:val="20"/>
        </w:rPr>
        <w:t>Презумпция за съответствие с общото изискване за безопасност: Нашите продукти отговарят и са преминали независимо изпитване съгласно съответните европейски и международни стандарти. Където е необходимо, нашите продукти са одобрени също така съгласно Правило 90 на ИКЕ, китайския задължителен сертификат, SAE J2975 и SAE J661 и TUV/KBA.  Опасните вещества, изброени в Директива 2000/53/ЕС (Излезли от употреба превозни средства), не са налични над границите, посочени в тази директива.</w:t>
      </w:r>
    </w:p>
    <w:p w14:paraId="2FAD1570" w14:textId="77777777" w:rsidR="00FA5EC1" w:rsidRDefault="00FA5EC1" w:rsidP="00FA5EC1">
      <w:pPr>
        <w:pStyle w:val="Default"/>
        <w:rPr>
          <w:rFonts w:ascii="Verdana" w:hAnsi="Verdana"/>
          <w:sz w:val="20"/>
          <w:szCs w:val="20"/>
        </w:rPr>
      </w:pPr>
    </w:p>
    <w:p w14:paraId="3537C27C" w14:textId="6CE86357" w:rsidR="00457D6F" w:rsidRPr="00422B2F" w:rsidRDefault="00457D6F" w:rsidP="00457D6F">
      <w:pPr>
        <w:pStyle w:val="Default"/>
        <w:rPr>
          <w:rFonts w:ascii="Verdana" w:hAnsi="Verdana"/>
          <w:sz w:val="20"/>
          <w:szCs w:val="20"/>
        </w:rPr>
      </w:pPr>
    </w:p>
    <w:p w14:paraId="372CD21C" w14:textId="77777777" w:rsidR="00457D6F" w:rsidRPr="00422B2F" w:rsidRDefault="00457D6F" w:rsidP="00457D6F">
      <w:pPr>
        <w:pStyle w:val="Default"/>
        <w:numPr>
          <w:ilvl w:val="0"/>
          <w:numId w:val="4"/>
        </w:numPr>
        <w:rPr>
          <w:rFonts w:ascii="Verdana" w:hAnsi="Verdana"/>
          <w:sz w:val="20"/>
          <w:szCs w:val="20"/>
        </w:rPr>
      </w:pPr>
      <w:r>
        <w:rPr>
          <w:rFonts w:ascii="Verdana" w:hAnsi="Verdana"/>
          <w:sz w:val="20"/>
        </w:rPr>
        <w:t xml:space="preserve">Нашите продукти отговарят на стандартите на ЕС </w:t>
      </w:r>
    </w:p>
    <w:p w14:paraId="0CC63F59" w14:textId="77777777" w:rsidR="00457D6F" w:rsidRPr="00422B2F" w:rsidRDefault="00457D6F" w:rsidP="00457D6F">
      <w:pPr>
        <w:pStyle w:val="Default"/>
        <w:numPr>
          <w:ilvl w:val="0"/>
          <w:numId w:val="4"/>
        </w:numPr>
        <w:rPr>
          <w:rFonts w:ascii="Verdana" w:hAnsi="Verdana"/>
          <w:sz w:val="20"/>
          <w:szCs w:val="20"/>
        </w:rPr>
      </w:pPr>
      <w:r>
        <w:rPr>
          <w:rFonts w:ascii="Verdana" w:hAnsi="Verdana"/>
          <w:sz w:val="20"/>
        </w:rPr>
        <w:t>Придържаме се към приложимите международни стандарти, като при необходимост използваме външни научни организации за специализирани изпитвания.</w:t>
      </w:r>
    </w:p>
    <w:p w14:paraId="2C78E265" w14:textId="77777777" w:rsidR="00457D6F" w:rsidRPr="00422B2F" w:rsidRDefault="00457D6F" w:rsidP="00457D6F">
      <w:pPr>
        <w:pStyle w:val="Default"/>
        <w:numPr>
          <w:ilvl w:val="0"/>
          <w:numId w:val="4"/>
        </w:numPr>
        <w:rPr>
          <w:rFonts w:ascii="Verdana" w:hAnsi="Verdana"/>
          <w:sz w:val="20"/>
          <w:szCs w:val="20"/>
        </w:rPr>
      </w:pPr>
      <w:r>
        <w:rPr>
          <w:rFonts w:ascii="Verdana" w:hAnsi="Verdana"/>
          <w:sz w:val="20"/>
        </w:rPr>
        <w:t>Нашите продукти повишават безопасността на потребителите и са се доказали в трудни условия.</w:t>
      </w:r>
    </w:p>
    <w:p w14:paraId="349204D9" w14:textId="77777777" w:rsidR="00457D6F" w:rsidRPr="00422B2F" w:rsidRDefault="00457D6F" w:rsidP="00457D6F">
      <w:pPr>
        <w:pStyle w:val="Default"/>
        <w:rPr>
          <w:rFonts w:ascii="Verdana" w:hAnsi="Verdana"/>
          <w:sz w:val="20"/>
          <w:szCs w:val="20"/>
        </w:rPr>
      </w:pPr>
    </w:p>
    <w:p w14:paraId="60D0CF99" w14:textId="77777777" w:rsidR="00457D6F" w:rsidRPr="00422B2F" w:rsidRDefault="00457D6F" w:rsidP="00457D6F">
      <w:pPr>
        <w:pStyle w:val="Default"/>
        <w:rPr>
          <w:rFonts w:ascii="Verdana" w:hAnsi="Verdana"/>
          <w:sz w:val="20"/>
          <w:szCs w:val="20"/>
        </w:rPr>
      </w:pPr>
      <w:r>
        <w:rPr>
          <w:rFonts w:ascii="Verdana" w:hAnsi="Verdana"/>
          <w:sz w:val="20"/>
        </w:rPr>
        <w:t xml:space="preserve">Тази </w:t>
      </w:r>
      <w:r>
        <w:rPr>
          <w:rFonts w:ascii="Verdana" w:hAnsi="Verdana"/>
          <w:b/>
          <w:sz w:val="20"/>
        </w:rPr>
        <w:t>Производствена декларация за съответствие</w:t>
      </w:r>
      <w:r>
        <w:rPr>
          <w:rFonts w:ascii="Verdana" w:hAnsi="Verdana"/>
          <w:sz w:val="20"/>
        </w:rPr>
        <w:t xml:space="preserve"> има за цел да потвърди, че нашите продукти отговарят на изискванията на </w:t>
      </w:r>
      <w:r>
        <w:rPr>
          <w:rFonts w:ascii="Verdana" w:hAnsi="Verdana"/>
          <w:b/>
          <w:sz w:val="20"/>
        </w:rPr>
        <w:t xml:space="preserve">Регламента относно общата безопасност на продуктите </w:t>
      </w:r>
      <w:r>
        <w:rPr>
          <w:rFonts w:ascii="Verdana" w:hAnsi="Verdana"/>
          <w:sz w:val="20"/>
        </w:rPr>
        <w:t>и са безопасни за употреба от потребителите при нормални условия.</w:t>
      </w:r>
    </w:p>
    <w:p w14:paraId="45B90775" w14:textId="77777777" w:rsidR="00457D6F" w:rsidRPr="00422B2F" w:rsidRDefault="00457D6F" w:rsidP="00457D6F">
      <w:pPr>
        <w:pStyle w:val="Default"/>
        <w:rPr>
          <w:rFonts w:ascii="Verdana" w:hAnsi="Verdana"/>
          <w:sz w:val="20"/>
          <w:szCs w:val="20"/>
        </w:rPr>
      </w:pPr>
      <w:r>
        <w:rPr>
          <w:rFonts w:ascii="Verdana" w:hAnsi="Verdana"/>
          <w:sz w:val="20"/>
        </w:rPr>
        <w:t>Всички произвеждани продукти са изпитани и проследими в съответствие с регулаторните стандарти, а системите за контрол на производствения процес са обект на външни оценки от няколко признати организации.</w:t>
      </w:r>
    </w:p>
    <w:p w14:paraId="665FFC67" w14:textId="77777777" w:rsidR="00457D6F" w:rsidRPr="00422B2F" w:rsidRDefault="00457D6F" w:rsidP="00457D6F">
      <w:pPr>
        <w:pStyle w:val="Default"/>
        <w:rPr>
          <w:rFonts w:ascii="Verdana" w:hAnsi="Verdana"/>
          <w:sz w:val="20"/>
          <w:szCs w:val="20"/>
        </w:rPr>
      </w:pPr>
      <w:r>
        <w:rPr>
          <w:rFonts w:ascii="Verdana" w:hAnsi="Verdana"/>
          <w:sz w:val="20"/>
        </w:rPr>
        <w:t>Тази декларация включва:</w:t>
      </w:r>
    </w:p>
    <w:p w14:paraId="0B62E0A6"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t>Спецификациите на продукта.</w:t>
      </w:r>
    </w:p>
    <w:p w14:paraId="6B5102FD"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t>Описание на процеса на оценка на безопасността.</w:t>
      </w:r>
    </w:p>
    <w:p w14:paraId="1DEC9714"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t>Идентифицирането на стандартите, използвани за оценка на безопасността на продукта.</w:t>
      </w:r>
    </w:p>
    <w:p w14:paraId="186C94CA"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lastRenderedPageBreak/>
        <w:t>Данни за производителя и информация за контакт.</w:t>
      </w:r>
    </w:p>
    <w:p w14:paraId="1894B78B" w14:textId="77777777" w:rsidR="00457D6F" w:rsidRDefault="00457D6F" w:rsidP="00457D6F">
      <w:pPr>
        <w:rPr>
          <w:rFonts w:ascii="Verdana" w:hAnsi="Verdana" w:cs="Arial"/>
          <w:color w:val="000000"/>
          <w:sz w:val="20"/>
          <w:szCs w:val="20"/>
          <w:lang w:val="en-GB"/>
        </w:rPr>
      </w:pPr>
    </w:p>
    <w:p w14:paraId="1BB922A9" w14:textId="77777777" w:rsidR="008E1B2A" w:rsidRPr="00422B2F" w:rsidRDefault="008E1B2A" w:rsidP="00457D6F">
      <w:pPr>
        <w:rPr>
          <w:rFonts w:ascii="Verdana" w:hAnsi="Verdana" w:cs="Arial"/>
          <w:color w:val="000000"/>
          <w:sz w:val="20"/>
          <w:szCs w:val="20"/>
          <w:lang w:val="en-GB"/>
        </w:rPr>
      </w:pPr>
    </w:p>
    <w:tbl>
      <w:tblPr>
        <w:tblStyle w:val="TableGrid"/>
        <w:tblW w:w="0" w:type="auto"/>
        <w:tblInd w:w="421" w:type="dxa"/>
        <w:tblLook w:val="04A0" w:firstRow="1" w:lastRow="0" w:firstColumn="1" w:lastColumn="0" w:noHBand="0" w:noVBand="1"/>
      </w:tblPr>
      <w:tblGrid>
        <w:gridCol w:w="7100"/>
        <w:gridCol w:w="1494"/>
        <w:gridCol w:w="1228"/>
      </w:tblGrid>
      <w:tr w:rsidR="00457D6F" w:rsidRPr="00422B2F" w14:paraId="27EC4A20" w14:textId="77777777" w:rsidTr="00CD57AF">
        <w:tc>
          <w:tcPr>
            <w:tcW w:w="6539" w:type="dxa"/>
          </w:tcPr>
          <w:p w14:paraId="10A7E360" w14:textId="77777777" w:rsidR="00457D6F" w:rsidRPr="00C3368F" w:rsidRDefault="00457D6F" w:rsidP="00DE10C3">
            <w:pPr>
              <w:rPr>
                <w:rFonts w:ascii="Verdana" w:hAnsi="Verdana" w:cs="Arial"/>
                <w:color w:val="000000"/>
                <w:sz w:val="96"/>
                <w:szCs w:val="96"/>
              </w:rPr>
            </w:pPr>
            <w:bookmarkStart w:id="2" w:name="_Hlk187826583"/>
            <w:r>
              <w:rPr>
                <w:rFonts w:ascii="Verdana" w:hAnsi="Verdana"/>
                <w:color w:val="000000"/>
                <w:sz w:val="96"/>
              </w:rPr>
              <w:t>Представител</w:t>
            </w:r>
          </w:p>
        </w:tc>
        <w:tc>
          <w:tcPr>
            <w:tcW w:w="1390" w:type="dxa"/>
          </w:tcPr>
          <w:p w14:paraId="13CA8D81" w14:textId="77777777" w:rsidR="00457D6F" w:rsidRPr="00C3368F" w:rsidRDefault="00457D6F" w:rsidP="00DE10C3">
            <w:pPr>
              <w:rPr>
                <w:rFonts w:ascii="Verdana" w:hAnsi="Verdana" w:cs="Arial"/>
                <w:color w:val="000000"/>
                <w:sz w:val="96"/>
                <w:szCs w:val="96"/>
              </w:rPr>
            </w:pPr>
            <w:r>
              <w:rPr>
                <w:rFonts w:ascii="Verdana" w:hAnsi="Verdana"/>
                <w:color w:val="000000"/>
                <w:sz w:val="96"/>
              </w:rPr>
              <w:t>в ЕС</w:t>
            </w:r>
          </w:p>
        </w:tc>
        <w:tc>
          <w:tcPr>
            <w:tcW w:w="1146" w:type="dxa"/>
          </w:tcPr>
          <w:p w14:paraId="5CA3471B" w14:textId="77777777" w:rsidR="00457D6F" w:rsidRPr="00422B2F" w:rsidRDefault="00457D6F" w:rsidP="00DE10C3">
            <w:pPr>
              <w:rPr>
                <w:rFonts w:ascii="Verdana" w:hAnsi="Verdana" w:cs="Arial"/>
                <w:color w:val="000000"/>
                <w:sz w:val="20"/>
                <w:szCs w:val="20"/>
              </w:rPr>
            </w:pPr>
            <w:r>
              <w:rPr>
                <w:rFonts w:ascii="Verdana" w:hAnsi="Verdana"/>
                <w:color w:val="000000"/>
                <w:sz w:val="20"/>
              </w:rPr>
              <w:t>EBC Brakes Germany e.K.</w:t>
            </w:r>
          </w:p>
          <w:p w14:paraId="7EEBCE51" w14:textId="77777777" w:rsidR="00457D6F" w:rsidRPr="00422B2F" w:rsidRDefault="00457D6F" w:rsidP="00DE10C3">
            <w:pPr>
              <w:rPr>
                <w:rFonts w:ascii="Verdana" w:hAnsi="Verdana" w:cs="Arial"/>
                <w:color w:val="000000"/>
                <w:sz w:val="20"/>
                <w:szCs w:val="20"/>
              </w:rPr>
            </w:pPr>
            <w:r>
              <w:rPr>
                <w:rFonts w:ascii="Verdana" w:hAnsi="Verdana"/>
                <w:color w:val="000000"/>
                <w:sz w:val="20"/>
              </w:rPr>
              <w:t>Hertha-Sponer-Str.9</w:t>
            </w:r>
          </w:p>
          <w:p w14:paraId="3756EEC4" w14:textId="77777777" w:rsidR="00457D6F" w:rsidRPr="00422B2F" w:rsidRDefault="00457D6F" w:rsidP="00DE10C3">
            <w:pPr>
              <w:rPr>
                <w:rFonts w:ascii="Verdana" w:hAnsi="Verdana" w:cs="Arial"/>
                <w:color w:val="000000"/>
                <w:sz w:val="20"/>
                <w:szCs w:val="20"/>
              </w:rPr>
            </w:pPr>
            <w:r>
              <w:rPr>
                <w:rFonts w:ascii="Verdana" w:hAnsi="Verdana"/>
                <w:color w:val="000000"/>
                <w:sz w:val="20"/>
              </w:rPr>
              <w:t>28816 Stuhr</w:t>
            </w:r>
          </w:p>
          <w:p w14:paraId="1D129A11" w14:textId="77777777" w:rsidR="00457D6F" w:rsidRPr="00422B2F" w:rsidRDefault="00457D6F" w:rsidP="00DE10C3">
            <w:pPr>
              <w:rPr>
                <w:rFonts w:ascii="Verdana" w:hAnsi="Verdana" w:cs="Arial"/>
                <w:color w:val="000000"/>
                <w:sz w:val="20"/>
                <w:szCs w:val="20"/>
              </w:rPr>
            </w:pPr>
            <w:r>
              <w:rPr>
                <w:rFonts w:ascii="Verdana" w:hAnsi="Verdana"/>
                <w:color w:val="000000"/>
                <w:sz w:val="20"/>
              </w:rPr>
              <w:t>Германия</w:t>
            </w:r>
          </w:p>
          <w:p w14:paraId="6DAD2EE0" w14:textId="77777777" w:rsidR="00457D6F" w:rsidRPr="00422B2F" w:rsidRDefault="00457D6F" w:rsidP="00DE10C3">
            <w:pPr>
              <w:rPr>
                <w:rFonts w:ascii="Verdana" w:hAnsi="Verdana" w:cs="Arial"/>
                <w:color w:val="000000"/>
                <w:sz w:val="20"/>
                <w:szCs w:val="20"/>
              </w:rPr>
            </w:pPr>
            <w:hyperlink r:id="rId7" w:history="1">
              <w:r>
                <w:rPr>
                  <w:rStyle w:val="Hyperlink"/>
                  <w:rFonts w:ascii="Verdana" w:hAnsi="Verdana"/>
                  <w:sz w:val="20"/>
                </w:rPr>
                <w:t>info@ebc-brakes.de</w:t>
              </w:r>
            </w:hyperlink>
          </w:p>
        </w:tc>
      </w:tr>
      <w:bookmarkEnd w:id="2"/>
    </w:tbl>
    <w:p w14:paraId="47AB2DA9" w14:textId="1F3CC4AB" w:rsidR="0034349A" w:rsidRPr="0034349A" w:rsidRDefault="0034349A" w:rsidP="008B3C98"/>
    <w:sectPr w:rsidR="0034349A" w:rsidRPr="0034349A" w:rsidSect="00CD0BFD">
      <w:headerReference w:type="default" r:id="rId8"/>
      <w:footerReference w:type="default" r:id="rId9"/>
      <w:pgSz w:w="11900" w:h="16840"/>
      <w:pgMar w:top="3260" w:right="560" w:bottom="1440" w:left="567" w:header="2835"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C7A45" w14:textId="77777777" w:rsidR="0027329A" w:rsidRDefault="0027329A">
      <w:r>
        <w:separator/>
      </w:r>
    </w:p>
  </w:endnote>
  <w:endnote w:type="continuationSeparator" w:id="0">
    <w:p w14:paraId="5CABC79E" w14:textId="77777777" w:rsidR="0027329A" w:rsidRDefault="0027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4010" w14:textId="77777777" w:rsidR="0034349A" w:rsidRDefault="0034349A">
    <w:pPr>
      <w:pStyle w:val="Footer"/>
    </w:pPr>
    <w:r>
      <w:rPr>
        <w:noProof/>
      </w:rPr>
      <w:drawing>
        <wp:anchor distT="0" distB="0" distL="114300" distR="114300" simplePos="0" relativeHeight="251661312" behindDoc="0" locked="0" layoutInCell="1" allowOverlap="1" wp14:anchorId="389845DD" wp14:editId="44BD0634">
          <wp:simplePos x="0" y="0"/>
          <wp:positionH relativeFrom="page">
            <wp:posOffset>18415</wp:posOffset>
          </wp:positionH>
          <wp:positionV relativeFrom="page">
            <wp:posOffset>9994900</wp:posOffset>
          </wp:positionV>
          <wp:extent cx="7518400" cy="694690"/>
          <wp:effectExtent l="0" t="0" r="0" b="0"/>
          <wp:wrapTight wrapText="bothSides">
            <wp:wrapPolygon edited="0">
              <wp:start x="0" y="0"/>
              <wp:lineTo x="0" y="20534"/>
              <wp:lineTo x="21527" y="20534"/>
              <wp:lineTo x="21527"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bottom.pdf"/>
                  <pic:cNvPicPr/>
                </pic:nvPicPr>
                <pic:blipFill>
                  <a:blip r:embed="rId1">
                    <a:extLst>
                      <a:ext uri="{28A0092B-C50C-407E-A947-70E740481C1C}">
                        <a14:useLocalDpi xmlns:a14="http://schemas.microsoft.com/office/drawing/2010/main" val="0"/>
                      </a:ext>
                    </a:extLst>
                  </a:blip>
                  <a:stretch>
                    <a:fillRect/>
                  </a:stretch>
                </pic:blipFill>
                <pic:spPr>
                  <a:xfrm>
                    <a:off x="0" y="0"/>
                    <a:ext cx="7518400" cy="6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8C44" w14:textId="77777777" w:rsidR="0027329A" w:rsidRDefault="0027329A">
      <w:r>
        <w:separator/>
      </w:r>
    </w:p>
  </w:footnote>
  <w:footnote w:type="continuationSeparator" w:id="0">
    <w:p w14:paraId="42C6D7CE" w14:textId="77777777" w:rsidR="0027329A" w:rsidRDefault="00273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B167" w14:textId="77777777" w:rsidR="0034349A" w:rsidRDefault="0034349A">
    <w:pPr>
      <w:pStyle w:val="Header"/>
    </w:pPr>
    <w:bookmarkStart w:id="3" w:name="_MacBuGuideStaticData_15480H"/>
    <w:bookmarkStart w:id="4" w:name="_MacBuGuideStaticData_2940H"/>
    <w:r>
      <w:rPr>
        <w:noProof/>
      </w:rPr>
      <w:drawing>
        <wp:anchor distT="0" distB="0" distL="114300" distR="114300" simplePos="0" relativeHeight="251659264" behindDoc="0" locked="0" layoutInCell="1" allowOverlap="1" wp14:anchorId="1ED9C529" wp14:editId="236D7117">
          <wp:simplePos x="0" y="0"/>
          <wp:positionH relativeFrom="page">
            <wp:posOffset>12700</wp:posOffset>
          </wp:positionH>
          <wp:positionV relativeFrom="page">
            <wp:posOffset>7620</wp:posOffset>
          </wp:positionV>
          <wp:extent cx="7556500" cy="1850390"/>
          <wp:effectExtent l="0" t="0" r="12700" b="3810"/>
          <wp:wrapTight wrapText="bothSides">
            <wp:wrapPolygon edited="0">
              <wp:start x="0" y="0"/>
              <wp:lineTo x="0" y="21348"/>
              <wp:lineTo x="21564" y="21348"/>
              <wp:lineTo x="2156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 header.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850390"/>
                  </a:xfrm>
                  <a:prstGeom prst="rect">
                    <a:avLst/>
                  </a:prstGeom>
                </pic:spPr>
              </pic:pic>
            </a:graphicData>
          </a:graphic>
          <wp14:sizeRelV relativeFrom="margin">
            <wp14:pctHeight>0</wp14:pctHeight>
          </wp14:sizeRelV>
        </wp:anchor>
      </w:drawing>
    </w:r>
  </w:p>
  <w:bookmarkEnd w:id="3"/>
  <w:bookmarkEnd w:i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31C4D"/>
    <w:multiLevelType w:val="hybridMultilevel"/>
    <w:tmpl w:val="F676A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702A28"/>
    <w:multiLevelType w:val="hybridMultilevel"/>
    <w:tmpl w:val="16DE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322B2B"/>
    <w:multiLevelType w:val="hybridMultilevel"/>
    <w:tmpl w:val="AFE0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85C5A"/>
    <w:multiLevelType w:val="hybridMultilevel"/>
    <w:tmpl w:val="6712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173719"/>
    <w:multiLevelType w:val="hybridMultilevel"/>
    <w:tmpl w:val="EE0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037DA3"/>
    <w:multiLevelType w:val="multilevel"/>
    <w:tmpl w:val="5ED0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8360426">
    <w:abstractNumId w:val="5"/>
  </w:num>
  <w:num w:numId="2" w16cid:durableId="662273965">
    <w:abstractNumId w:val="3"/>
  </w:num>
  <w:num w:numId="3" w16cid:durableId="1726220157">
    <w:abstractNumId w:val="4"/>
  </w:num>
  <w:num w:numId="4" w16cid:durableId="1156533830">
    <w:abstractNumId w:val="0"/>
  </w:num>
  <w:num w:numId="5" w16cid:durableId="1488594627">
    <w:abstractNumId w:val="1"/>
  </w:num>
  <w:num w:numId="6" w16cid:durableId="2030983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StaticGuides" w:val="1"/>
  </w:docVars>
  <w:rsids>
    <w:rsidRoot w:val="00796927"/>
    <w:rsid w:val="000317CF"/>
    <w:rsid w:val="000515D9"/>
    <w:rsid w:val="00070AE7"/>
    <w:rsid w:val="000B6B6E"/>
    <w:rsid w:val="001336DA"/>
    <w:rsid w:val="001756F6"/>
    <w:rsid w:val="0027329A"/>
    <w:rsid w:val="002912A5"/>
    <w:rsid w:val="002D3BC0"/>
    <w:rsid w:val="003135BD"/>
    <w:rsid w:val="0034349A"/>
    <w:rsid w:val="00364973"/>
    <w:rsid w:val="003A61EE"/>
    <w:rsid w:val="00422B2F"/>
    <w:rsid w:val="00440998"/>
    <w:rsid w:val="00457D6F"/>
    <w:rsid w:val="00493DDA"/>
    <w:rsid w:val="00543258"/>
    <w:rsid w:val="005F1BE0"/>
    <w:rsid w:val="0060174C"/>
    <w:rsid w:val="00631450"/>
    <w:rsid w:val="006D7849"/>
    <w:rsid w:val="00756968"/>
    <w:rsid w:val="0076728F"/>
    <w:rsid w:val="00796927"/>
    <w:rsid w:val="007A6444"/>
    <w:rsid w:val="007B45DA"/>
    <w:rsid w:val="007D609F"/>
    <w:rsid w:val="00852ABA"/>
    <w:rsid w:val="008A6AAC"/>
    <w:rsid w:val="008B3C98"/>
    <w:rsid w:val="008B7672"/>
    <w:rsid w:val="008C705A"/>
    <w:rsid w:val="008E1B2A"/>
    <w:rsid w:val="009062E7"/>
    <w:rsid w:val="00947215"/>
    <w:rsid w:val="009E28F9"/>
    <w:rsid w:val="00A3223E"/>
    <w:rsid w:val="00A43A3F"/>
    <w:rsid w:val="00A45109"/>
    <w:rsid w:val="00B41328"/>
    <w:rsid w:val="00B62364"/>
    <w:rsid w:val="00B8041C"/>
    <w:rsid w:val="00C22CFC"/>
    <w:rsid w:val="00C3368F"/>
    <w:rsid w:val="00C377CA"/>
    <w:rsid w:val="00C74A23"/>
    <w:rsid w:val="00CD0BFD"/>
    <w:rsid w:val="00CD57AF"/>
    <w:rsid w:val="00D16C56"/>
    <w:rsid w:val="00DF580E"/>
    <w:rsid w:val="00E0218E"/>
    <w:rsid w:val="00E136F5"/>
    <w:rsid w:val="00E15225"/>
    <w:rsid w:val="00E72389"/>
    <w:rsid w:val="00E73A8D"/>
    <w:rsid w:val="00E81C4C"/>
    <w:rsid w:val="00E93B01"/>
    <w:rsid w:val="00EB5263"/>
    <w:rsid w:val="00ED0854"/>
    <w:rsid w:val="00F13684"/>
    <w:rsid w:val="00F63F49"/>
    <w:rsid w:val="00FA5EC1"/>
    <w:rsid w:val="00FD18A0"/>
  </w:rsids>
  <m:mathPr>
    <m:mathFont m:val="Cambria Math"/>
    <m:brkBin m:val="before"/>
    <m:brkBinSub m:val="--"/>
    <m:smallFrac m:val="0"/>
    <m:dispDef m:val="0"/>
    <m:lMargin m:val="0"/>
    <m:rMargin m:val="0"/>
    <m:defJc m:val="centerGroup"/>
    <m:wrapRight/>
    <m:intLim m:val="subSup"/>
    <m:naryLim m:val="subSup"/>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0233544"/>
  <w15:docId w15:val="{95D05DBA-CFD4-B444-94B4-9D28016E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bg-B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E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927"/>
    <w:pPr>
      <w:tabs>
        <w:tab w:val="center" w:pos="4320"/>
        <w:tab w:val="right" w:pos="8640"/>
      </w:tabs>
    </w:pPr>
  </w:style>
  <w:style w:type="character" w:customStyle="1" w:styleId="HeaderChar">
    <w:name w:val="Header Char"/>
    <w:basedOn w:val="DefaultParagraphFont"/>
    <w:link w:val="Header"/>
    <w:uiPriority w:val="99"/>
    <w:rsid w:val="00796927"/>
    <w:rPr>
      <w:sz w:val="24"/>
      <w:szCs w:val="24"/>
    </w:rPr>
  </w:style>
  <w:style w:type="paragraph" w:styleId="Footer">
    <w:name w:val="footer"/>
    <w:basedOn w:val="Normal"/>
    <w:link w:val="FooterChar"/>
    <w:uiPriority w:val="99"/>
    <w:unhideWhenUsed/>
    <w:rsid w:val="00796927"/>
    <w:pPr>
      <w:tabs>
        <w:tab w:val="center" w:pos="4320"/>
        <w:tab w:val="right" w:pos="8640"/>
      </w:tabs>
    </w:pPr>
  </w:style>
  <w:style w:type="character" w:customStyle="1" w:styleId="FooterChar">
    <w:name w:val="Footer Char"/>
    <w:basedOn w:val="DefaultParagraphFont"/>
    <w:link w:val="Footer"/>
    <w:uiPriority w:val="99"/>
    <w:rsid w:val="00796927"/>
    <w:rPr>
      <w:sz w:val="24"/>
      <w:szCs w:val="24"/>
    </w:rPr>
  </w:style>
  <w:style w:type="character" w:customStyle="1" w:styleId="viewbox">
    <w:name w:val="viewbox"/>
    <w:basedOn w:val="DefaultParagraphFont"/>
    <w:rsid w:val="00A45109"/>
  </w:style>
  <w:style w:type="character" w:styleId="Hyperlink">
    <w:name w:val="Hyperlink"/>
    <w:basedOn w:val="DefaultParagraphFont"/>
    <w:rsid w:val="00457D6F"/>
    <w:rPr>
      <w:color w:val="0000FF"/>
      <w:u w:val="single"/>
    </w:rPr>
  </w:style>
  <w:style w:type="paragraph" w:customStyle="1" w:styleId="Default">
    <w:name w:val="Default"/>
    <w:rsid w:val="00457D6F"/>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57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ebc-brake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Freeman Automotive (UK) Ltd</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Brown</dc:creator>
  <cp:lastModifiedBy>Author</cp:lastModifiedBy>
  <cp:revision>3</cp:revision>
  <cp:lastPrinted>2015-11-24T11:44:00Z</cp:lastPrinted>
  <dcterms:created xsi:type="dcterms:W3CDTF">2025-02-07T11:20:00Z</dcterms:created>
  <dcterms:modified xsi:type="dcterms:W3CDTF">2025-02-17T10:44:00Z</dcterms:modified>
</cp:coreProperties>
</file>