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Referenca: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Opća uredba o sigurnosti proizvoda (GPSR) EU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2023/988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Uvod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Opća uredba o sigurnosti proizvoda (General Product Safety Regulation, GPSR – EU uredba 2023/988) za proizvode koji se prodaju na tržištu Europske unije (EU) (uključujući proizvode koji podliježu usklađenom zakonodavstvu) uvedena je kako bi se osiguralo da proizvodi koji se prodaju u EU zadovoljavaju visoke sigurnosne standarde te štite zdravlje i sigurnost potrošača.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Kočne pločice i kočni diskovi kritične su komponente u sustavima kočenja vozila,</w:t>
      </w:r>
      <w:r>
        <w:rPr>
          <w:sz w:val="20"/>
          <w:rFonts w:ascii="Verdana" w:hAnsi="Verdana"/>
        </w:rPr>
        <w:t xml:space="preserve"> a osiguravanje njihove usklađenosti s GPSR-om ključno je zbog sigurnosti, kvalitete, okoliša i regulativnih razloga.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Opis proizvoda za kočne pločice za motocikle i automobile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Funkcija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Kočne pločice namijenjene su za stvaranje trenja kada se pritisnu uz kočni disk, čime se omogućuje usporavanje ili učinkovito zaustavljanje vozila.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rFonts w:ascii="Verdana" w:hAnsi="Verdana"/>
        </w:rPr>
        <w:t xml:space="preserve">Sastav materijala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Kočne pločice sastavljene su od mješavine materijala poput metala, keramike i organskih spojeva, pažljivo odabranih zbog trajnosti, sigurnosti i radnih značajki.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Ciljne primjene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Ove kočne pločice upotrebljavaju se u osobnim automobilima, gospodarskim vozilima, na motociklima itd.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Veličina i varijante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Dostupno je više veličina i izvedbi koje odgovaraju različitim modelima vozila i kočnim sustavima.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Opis proizvoda za kočne diskove za motocikle i automobile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rFonts w:ascii="Verdana" w:hAnsi="Verdana"/>
        </w:rPr>
        <w:t xml:space="preserve">Funkcija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Kočni diskovi projektirani su tako da se okreću zajedno s kotačima.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Kočne pločice, koje su pričvršćene na čeljust kočnice, stežu se na te okretne diskove kako bi zaustavile ili usporile kotače.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Kada se kočni sustav aktivira, kočne pločice guranjem na diskove stvaraju trenje koje pretvara kinetičku u toplinsku energiju.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rFonts w:ascii="Verdana" w:hAnsi="Verdana"/>
        </w:rPr>
        <w:t xml:space="preserve">Sastav materijala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Kočni diskovi proizvedeni su od lijevanog željeza, nehrđajućeg i mekog čelika, ovisno o primjeni, i pažljivo su odabrani zbog svoje izdržljivosti, sigurnosti i radnih značajki.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Ciljne primjene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Ovi kočni diskovi upotrebljavaju se u osobnim automobilima, gospodarskim vozilima, na motociklima.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Veličina i varijante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Dostupno je više veličina i izvedbi koji odgovaraju različitim modelima vozila i kočnim sustavima.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Tehnička dokumentacija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Proizvođač vodi detaljnu tehničku dokumentaciju koja obuhvaća: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procese projektiranja i proizvodnje;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rezultate ispitivanja sigurnosti i učinkovitosti;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procjene rizika i mjere ublažavanja rizika;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potvrde o sukladnosti koje izdaju akreditirani laboratoriji za ispitivanje.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Propisi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 nastavku navodimo neke od glavnih članaka Pravilnika i pokazujemo kako su naši proizvodi u skladu s navedenim zahtjevima: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Članak 5.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Opći sigurnosni zahtjev:</w:t>
      </w:r>
      <w:r>
        <w:rPr>
          <w:color w:val="auto"/>
          <w:sz w:val="20"/>
          <w:rFonts w:ascii="Verdana" w:hAnsi="Verdana"/>
        </w:rPr>
        <w:t xml:space="preserve">Kao gospodarski subjekt na tržište stavljamo ili činimo dostupnim samo sigurne proizvode.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Članak 6.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Aspekti procjene sigurnosti proizvoda: </w:t>
      </w:r>
      <w:r>
        <w:rPr>
          <w:sz w:val="20"/>
          <w:color w:val="auto"/>
          <w:rFonts w:ascii="Verdana" w:hAnsi="Verdana"/>
        </w:rPr>
        <w:t xml:space="preserve">Pri procjeni sigurnosti svojih proizvoda uzimamo u obzir njihove značajke, uključujući izvedbu, </w:t>
      </w:r>
      <w:r>
        <w:rPr>
          <w:sz w:val="20"/>
          <w:rFonts w:ascii="Verdana" w:hAnsi="Verdana"/>
        </w:rPr>
        <w:t xml:space="preserve">tehničke značajke, sastav, pakiranje, upute za montažu i, kada je primjenjivo, montažu, uporabu i održavanje.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Upute za montažu isporučuju se uz proizvode, a dostupne su i na internetu.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Procjenjujemo sljedeće dodatne aspekte: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učinak na druge proizvode, budući da naši dijelovi mogu djelovati kao provodnik između drugih predmeta (npr. </w:t>
      </w:r>
      <w:r>
        <w:rPr>
          <w:sz w:val="20"/>
          <w:color w:val="000000" w:themeColor="text1"/>
          <w:rFonts w:ascii="Verdana" w:hAnsi="Verdana"/>
        </w:rPr>
        <w:t xml:space="preserve">diskovi i čeljusti);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učinak koji drugi proizvodi mogu imati na naše proizvode, kad se to razumno može predvidjeti;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predstavljanje, označavanje, upozorenja i upute za sigurnu uporabu;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prikladnost proizvoda za različite skupine potrošača, uključujući osobe s invaliditetom, i njihove sigurnosne implikacije.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Članci 7. i 8.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Pretpostavka sukladnosti s općim sigurnosnim zahtjevom:</w:t>
      </w:r>
      <w:r>
        <w:rPr>
          <w:sz w:val="20"/>
          <w:rFonts w:ascii="Verdana" w:hAnsi="Verdana"/>
        </w:rPr>
        <w:t xml:space="preserve">Naši su proizvodi usklađeni i neovisno ispitani prema važećim europskim i međunarodnim standardima.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Kada je to bitno, naši su proizvodi također odobreni prema ECE Uredbi 90, kineskom obveznom certifikatu, SAE J2975 i SAE J661 i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Opasne tvari koje su navedene u Direktivi 2000/53/EU (Otpadna vozila) nisu prisutne iznad granica navedenih u toj Direktivi.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Naši proizvodi usklađeni su sa standardima EU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Pridržavamo se važećih međunarodnih standarda te angažiramo vanjska znanstvena tijela za specijalizirana ispitivanja kada je to potrebno.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Naši proizvodi unaprjeđuju sigurnost potrošača i dokazani su u zahtjevnim okruženjima.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Ovom </w:t>
      </w:r>
      <w:r>
        <w:rPr>
          <w:sz w:val="20"/>
          <w:rFonts w:ascii="Verdana" w:hAnsi="Verdana"/>
        </w:rPr>
        <w:t xml:space="preserve">Izjavom o sukladnosti proizvodnje </w:t>
      </w:r>
      <w:r>
        <w:rPr>
          <w:sz w:val="20"/>
          <w:rFonts w:ascii="Verdana" w:hAnsi="Verdana"/>
        </w:rPr>
        <w:t xml:space="preserve">potvrđuje se da su naši proizvodi u skladu s </w:t>
      </w:r>
      <w:r>
        <w:rPr>
          <w:sz w:val="20"/>
          <w:rFonts w:ascii="Verdana" w:hAnsi="Verdana"/>
        </w:rPr>
        <w:t xml:space="preserve">Općom uredbom o sigurnosti proizvoda </w:t>
      </w:r>
      <w:r>
        <w:rPr>
          <w:sz w:val="20"/>
          <w:rFonts w:ascii="Verdana" w:hAnsi="Verdana"/>
        </w:rPr>
        <w:t xml:space="preserve">te da su sigurni za upotrebu potrošača u normalnim uvjetima.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Svi proizvedeni proizvodi ispitani su i osigurana je njihova sljedivost prema regulativnim standardima, a sustavi kojima se kontrolira njihov proizvodni proces podliježu vanjskim procjenama nekoliko priznatih tijela.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Ova izjava uključuje: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specifikacije proizvoda;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opis postupka procjene sigurnosti;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identifikaciju standarda korištenih pri procjeni sigurnosti proizvoda;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podatke o proizvođaču i kontaktne podatke.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Njemačka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