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Reference: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Nařízení EU </w:t>
      </w:r>
      <w:r>
        <w:rPr>
          <w:sz w:val="20"/>
          <w:b/>
          <w:color w:val="000000"/>
          <w:b/>
          <w:color w:val="000000"/>
          <w:rFonts w:ascii="Verdana" w:hAnsi="Verdana"/>
        </w:rPr>
        <w:t xml:space="preserve">2023/988</w:t>
      </w:r>
      <w:r>
        <w:rPr>
          <w:sz w:val="20"/>
          <w:b/>
          <w:color w:val="000000"/>
          <w:rFonts w:ascii="Verdana" w:hAnsi="Verdana"/>
        </w:rPr>
        <w:t xml:space="preserve"> o obecné bezpečnosti výrobků (GPSR)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Úvod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Nařízení o obecné bezpečnosti výrobků (GPSR – nařízení EU 2023/988) pro výrobky prodávané na trhu Evropské unie (EU) (včetně výrobků, které podléhají harmonizované legislativě) bylo zavedeno s cílem zajistit, aby výrobky prodávané v EU splňovaly vysoké bezpečnostní normy, a chránily tak zdraví a bezpečnost spotřebitelů.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Brzdové destičky a brzdové kotouče jsou obzvlášť důležitým prvkem v brzdových soustavách vozidel</w:t>
      </w:r>
      <w:r>
        <w:rPr>
          <w:sz w:val="20"/>
          <w:rFonts w:ascii="Verdana" w:hAnsi="Verdana"/>
        </w:rPr>
        <w:t xml:space="preserve"> a zajištění jejich shody s nařízením GPSR je nezbytné jak z bezpečnostních, tak z kvalitativních, ekologických a regulačních důvodů.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Popis výrobku brzdových destiček pro motocykly a motorová vozidla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Funkce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Brzdové destičky jsou navrženy tak, aby po přitlačení na brzdový kotouč vytvářely tření, které umožňuje vozidlům účinně zpomalit nebo zastavit.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Použitý materiál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Brzdové destičky se vyrábějí z různých materiálů, jako jsou kovy, keramika a organické sloučeniny, které jsou pečlivě vybrané s ohledem na trvanlivost, bezpečnost a výkonnostní vlastnosti.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Cílové oblasti použití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Tyto brzdové destičky se používají v osobních vozech, užitkových vozidlech, motocyklech atd.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Rozměry a varianty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Brzdové destičky jsou k dispozici v několika velikostech a provedeních, aby je bylo možné použít v různých modelech vozidel a brzdových soustavách.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Popis výrobku brzdových kotoučů pro motocykly a motorová vozidla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Funkce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Brzdové kotouče jsou navrženy tak,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aby se otáčely spolu s koly.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Brzdové destičky, které jsou namontované na brzdových třmenech, stlačí tyto otáčející se kotouče, aby zastavily nebo zpomalily kola.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Při aktivaci brzdové soustavy dochází k tření brzdových destiček o kotouče, které přeměňuje kinetickou energii na tepelnou.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Použitý materiál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Brzdové kotouče se vyrábí z litiny, nerezové oceli nebo měkké oceli v závislosti na použití a jsou pečlivě vybírány s ohledem na jejich trvanlivost, bezpečnost a výkonnostní vlastnosti.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Cílové oblasti použití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Tyto brzdové kotouče se používají v osobních vozech, užitkových vozidlech a motocyklech.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Rozměry a varianty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Brzdové kotouče jsou k dispozici v několika velikostech a provedeních, aby je bylo možné použít v různých modelech vozidel a brzdových soustavách.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Technická dokumentace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Výrobce řádně udržuje podrobnou technickou dokumentaci zahrnující: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konstrukční a výrobní postupy,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výsledky zkoušek bezpečnosti a výkonnosti,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posouzení rizik a opatření k jejich zmírnění,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osvědčení o shodě od akreditovaných testovacích laboratoří.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Nařízení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Níže uvádíme některé zásadní články z nařízení a popisujeme, jak naše výrobky tyto požadavky splňují: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Článek 5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Požadavek obecné bezpečnosti: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Jako obchodní subjekt uvádíme nebo dodáváme na trh pouze bezpečné výrobky.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Článek 6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Hlediska pro posuzování bezpečnosti výrobků: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Při posuzování bezpečnosti výrobků zohledňujeme charakteristické vlastnosti výrobku, včetně konstrukce,</w:t>
      </w:r>
      <w:r>
        <w:rPr>
          <w:sz w:val="20"/>
          <w:rFonts w:ascii="Verdana" w:hAnsi="Verdana"/>
        </w:rPr>
        <w:t xml:space="preserve"> technických vlastností, složení, balení, návodu k montáži a případně instalace, používání a údržby.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Pokyny k instalaci jsou součástí dodávky výrobků a také jsou k dispozici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Dále posuzujeme následující doplňující hlediska: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Vliv na další výrobky, jelikož naše díly mohou fungovat jako spojovací prvek mezi jinými součástmi (např. kotouči a třmeny).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Vliv, který mohou mít další výrobky na naše produkty tam, kde je to předvídatelné.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Prezentace, označení, štítky, výstrahy a pokyny pro bezpečné použití.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Vhodnost našich výrobků pro různé skupiny spotřebitelů, včetně osob se zdravotním postižením, a z toho vyplývající dopady na bezpečnost.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Články 7 a 8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Předpoklad shody s požadavkem obecné bezpečnosti: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Naše výrobky splňují příslušné evropské a mezinárodní normy a byly s ohledem na ně nezávisle testovány.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Naše výrobky jsou také schváleny podle normy ECE 90, čínské certifikace kvality (CCC), SAE J2975, SAE J661 a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Nebezpečné látky uvedené ve směrnici 2000/53/EU (vozidla s ukončenou životností) nepřekračují limity uvedené v této směrnici.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Naše výrobky splňují normy EU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Dodržujeme platné mezinárodní normy a v případě potřeby spolupracujeme s externími vědeckými institucemi za účelem specializovaného testování.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Naše výrobky zvyšují bezpečnost spotřebitelů a jsou testovány v náročných podmínkách.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Toto </w:t>
      </w:r>
      <w:r>
        <w:rPr>
          <w:sz w:val="20"/>
          <w:b/>
          <w:rFonts w:ascii="Verdana" w:hAnsi="Verdana"/>
        </w:rPr>
        <w:t xml:space="preserve">prohlášení výrobce o shodě</w:t>
      </w:r>
      <w:r>
        <w:rPr>
          <w:sz w:val="20"/>
          <w:rFonts w:ascii="Verdana" w:hAnsi="Verdana"/>
        </w:rPr>
        <w:t xml:space="preserve"> potvrzuje, že naše výrobky splňují </w:t>
      </w:r>
      <w:r>
        <w:rPr>
          <w:sz w:val="20"/>
          <w:b/>
          <w:rFonts w:ascii="Verdana" w:hAnsi="Verdana"/>
        </w:rPr>
        <w:t xml:space="preserve">nařízení o obecné bezpečnosti výrobků </w:t>
      </w:r>
      <w:r>
        <w:rPr>
          <w:sz w:val="20"/>
          <w:rFonts w:ascii="Verdana" w:hAnsi="Verdana"/>
        </w:rPr>
        <w:t xml:space="preserve">a jsou bezpečné k použití spotřebiteli za běžných podmínek.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Všechny vyrobené produkty jsou testované a sledovatelné podle regulačních norem, přičemž systémy, které řídí výrobní procesy, podléhají externímu posuzování několika uznávanými institucemi.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Toto prohlášení obsahuje: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Specifikace výrobku.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Popis procesu posuzování bezpečnosti.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Popis norem použitých pro posouzení bezpečnosti výrobku.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Údaje o výrobci a kontaktní informace.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Německo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