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Reference: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Forordning om produktsikkerhed i almindelighed (GPSR) EU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Indledning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Forordningen om produktsikkerhed i almindelighed (GPSR - EU-forordning 2023/988) for produkter solgt på EU-markedet (herunder produkter underlagt harmoniseret lovgivning) blev indført for at sikre, at produkter solgt i EU opfylder høje sikkerhedsstandarder, og beskytte forbrugernes sundhed og sikkerhed.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Bremseklodser og bremseskiver er vigtige komponenter i bremsesystemer til køretøjer</w:t>
      </w:r>
      <w:r>
        <w:rPr>
          <w:sz w:val="20"/>
          <w:rFonts w:ascii="Verdana" w:hAnsi="Verdana"/>
        </w:rPr>
        <w:t xml:space="preserve">, og det er afgørende at sikre deres overholdelse af GPSR af både sikkerheds-, kvalitets-, miljø- og lovgivningsmæssige årsager.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Produktbeskrivelse for bremseklodser til motorcykler og biler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Funktion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Bremseklodser er designet til at skabe friktion, når de presses mod bremseskiven, hvorved køretøjer effektivt sætter farten ned eller stopper.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Materialesammensætning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Bremseklodser består af en blanding af materialer som metal, keramik og organiske forbindelser, der er blevet nøje udvalgt for deres holdbarhed, sikkerhed og præstationskarakteristika.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Tilsigtede anvendelser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Disse bremseklodser bruges i personbiler, erhvervskøretøjer, motorcykler etc.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Størrelse og varianter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Flere størrelser og design er tilgængelige for at passe til forskellige køretøjsmodeller og bremsesystemer.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Produktbeskrivelse for bremseskiver til motorcykler og biler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Funktion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Bremseskiver er designet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til at rotere med hjulene.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Bremseklodserne, der er monteret på bremsekalibrene, klemmer på disse rotorer for at stoppe eller nedbremse hjulene.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Når bremsesystemet aktiveres, presser bremseklodserne mod rotorerne og skaber friktion, hvorved kinetisk energi omdannes til varmeenergi.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Materialesammensætning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Bremseskiverne består enten af støbejern, rustfrit stål eller blødt stål, afhængigt af anvendelse, og materialerne udvælges nøje for deres holdbarhed, sikkerhed og præstationskarakteristika.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Tilsigtede anvendelser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Disse bremseskiver bruges i personbiler, erhvervskøretøjer, motorcykler etc.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Størrelse og varianter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Flere størrelser og design er tilgængelige for at passe til forskellige køretøjsmodeller og bremsesystemer.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Teknisk dokumentation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Producenten har ført detaljeret teknisk dokumentation, herunder: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Design- og fremstillingsprocesser.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Resultater af sikkerheds- og præstationstestning.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Risikovurderinger og afbødende foranstaltninger.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Overensstemmelseserklæringer fra autoriserede testlaboratorier.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Forordning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Vi har beskrevet nogle af de primære artikler i forordningen nedenfor, hvor vi angiver, hvordan vores produkter overholder disse krav: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Artikel 5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Generelt sikkerhedskrav: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Som en økonomisk aktor må vi kun lancere eller udbyde sikre produkter på markedet.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Artikel 6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Aspekter ved vurdering af produkters sikkerhed: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Ved vurdering af, om vores produkter er sikre, tager vi højde for produktets karakteristika, herunder dets design, </w:t>
      </w:r>
      <w:r>
        <w:rPr>
          <w:sz w:val="20"/>
          <w:rFonts w:ascii="Verdana" w:hAnsi="Verdana"/>
        </w:rPr>
        <w:t xml:space="preserve">tekniske kendetegn, sammensætning, emballage, monteringsvejledning og, hvis relevant, installation, brug og vedligeholdelse.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Installationsvejledning leveres med produkterne og er også tilgængelig online.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Vi vurderer de følgende yderligere aspekter: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Indvirkningen på andre produkter, da vores dele kan fungere som forbindelse mellem andre elementer (f.eks. </w:t>
      </w:r>
      <w:r>
        <w:rPr>
          <w:sz w:val="20"/>
          <w:color w:val="000000" w:themeColor="text1"/>
          <w:rFonts w:ascii="Verdana" w:hAnsi="Verdana"/>
        </w:rPr>
        <w:t xml:space="preserve">skiver og kalibre).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Den indvirkning, som andre produkter kan have på vores produkter, hvis det med rimelighed kan forudsiges.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Præsentation, mærkning, advarsler og vejledning til sikker brug.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Vores produkters egnethed til forskellige forbrugergrupper, herunder personer med handicap, og deres sikkerhedsmæssige implikationer.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Artikel 7 og 8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Formodning om overensstemmelse med generelt sikkerhedskrav: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Vores produkter stemmer overens med og er blevet testet uafhængigt vedrørende relevante europæiske og internationale standarder.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Hvor relevant, er vores produkter også blevet godkendt i henhold til ECE-regulativ nr. 90, China Compulsory Certificate, SAE J2975 og SAE J661 og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Farlige stoffer, som angivet i direktivet 2000/53/EU (udrangerede køretøjer), er ikke indeholdt i mængder, der overstiger grænserne angivet i det direktiv.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Vores produkter overholder EU-standarder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Vi overholder gældende internationale standarder, og vi bruger eksterne videnskabelige instanser til specialiseret testning, når der er behov for dette.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Vores produkter forbedrer forbrugersikkerheden og er afprøvet i krævende miljøer.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Denne </w:t>
      </w:r>
      <w:r>
        <w:rPr>
          <w:sz w:val="20"/>
          <w:b/>
          <w:rFonts w:ascii="Verdana" w:hAnsi="Verdana"/>
        </w:rPr>
        <w:t xml:space="preserve">fremstillingsoverensstemmelseserklæring</w:t>
      </w:r>
      <w:r>
        <w:rPr>
          <w:sz w:val="20"/>
          <w:rFonts w:ascii="Verdana" w:hAnsi="Verdana"/>
        </w:rPr>
        <w:t xml:space="preserve"> har til formål at bekræfte, at vores overholder </w:t>
      </w:r>
      <w:r>
        <w:rPr>
          <w:sz w:val="20"/>
          <w:b/>
          <w:rFonts w:ascii="Verdana" w:hAnsi="Verdana"/>
        </w:rPr>
        <w:t xml:space="preserve">forordningen om produktsikkerhed i almindelighed </w:t>
      </w:r>
      <w:r>
        <w:rPr>
          <w:sz w:val="20"/>
          <w:rFonts w:ascii="Verdana" w:hAnsi="Verdana"/>
        </w:rPr>
        <w:t xml:space="preserve">og er sikre at bruge for forbrugere under normale forhold.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Alle fremstillede produkter er blevet testet og er sporbare i henhold til forskriftsmæssige standarder, og de systemer, der kontrollerer deres fremstillingsproces er underlagt eksterne vurderinger fra adskillige anerkendte instanser.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Denne erklæring omfatter: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Produktets specifikationer.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En beskrivelse af sikkerhedsvurderingsprocessen.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Fastlæggelse af de standarder, der bruges til at vurdere produktets sikkerhed.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Producentens oplysninger og kontaktinformation.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Tyskland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