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ED5ED" w14:textId="77777777" w:rsidR="00457D6F" w:rsidRPr="00422B2F" w:rsidRDefault="00457D6F" w:rsidP="00457D6F">
      <w:pPr>
        <w:rPr>
          <w:color w:val="000000"/>
          <w:sz w:val="20"/>
          <w:szCs w:val="20"/>
          <w:rFonts w:ascii="Verdana" w:hAnsi="Verdana" w:cs="Arial"/>
        </w:rPr>
      </w:pPr>
      <w:r>
        <w:rPr>
          <w:sz w:val="20"/>
          <w:b/>
          <w:color w:val="000000"/>
          <w:rFonts w:ascii="Verdana" w:hAnsi="Verdana"/>
        </w:rPr>
        <w:t xml:space="preserve">Lähde:</w:t>
      </w:r>
      <w:r>
        <w:rPr>
          <w:sz w:val="20"/>
          <w:b/>
          <w:color w:val="000000"/>
          <w:rFonts w:ascii="Verdana" w:hAnsi="Verdana"/>
        </w:rPr>
        <w:t xml:space="preserve"> </w:t>
      </w:r>
      <w:r>
        <w:rPr>
          <w:sz w:val="20"/>
          <w:b/>
          <w:color w:val="000000"/>
          <w:rFonts w:ascii="Verdana" w:hAnsi="Verdana"/>
        </w:rPr>
        <w:tab/>
      </w:r>
      <w:r>
        <w:rPr>
          <w:sz w:val="20"/>
          <w:b/>
          <w:color w:val="000000"/>
          <w:rFonts w:ascii="Verdana" w:hAnsi="Verdana"/>
        </w:rPr>
        <w:t xml:space="preserve">EU:n yleinen tuoteturvallisuusasetus (GPSR)</w:t>
      </w:r>
      <w:r>
        <w:rPr>
          <w:sz w:val="20"/>
          <w:color w:val="111111"/>
          <w:shd w:val="clear" w:color="auto" w:fill="FFFFFF"/>
          <w:rFonts w:ascii="Verdana" w:hAnsi="Verdana"/>
        </w:rPr>
        <w:t xml:space="preserve"> </w:t>
      </w:r>
      <w:r>
        <w:rPr>
          <w:sz w:val="20"/>
          <w:b/>
          <w:color w:val="000000"/>
          <w:rFonts w:ascii="Verdana" w:hAnsi="Verdana"/>
        </w:rPr>
        <w:t xml:space="preserve">2023/988</w:t>
      </w:r>
    </w:p>
    <w:p w14:paraId="1C31E60D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41534B5A" w14:textId="77777777" w:rsidR="00457D6F" w:rsidRPr="00422B2F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Johdanto</w:t>
      </w:r>
    </w:p>
    <w:p w14:paraId="337E923D" w14:textId="77777777" w:rsidR="00457D6F" w:rsidRPr="00422B2F" w:rsidRDefault="00457D6F" w:rsidP="00457D6F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14:paraId="19BD0022" w14:textId="77777777" w:rsidR="00457D6F" w:rsidRPr="00422B2F" w:rsidRDefault="00457D6F" w:rsidP="00457D6F">
      <w:pPr>
        <w:pStyle w:val="Default"/>
        <w:rPr>
          <w:color w:val="auto"/>
          <w:sz w:val="20"/>
          <w:szCs w:val="20"/>
          <w:rFonts w:ascii="Verdana" w:hAnsi="Verdana"/>
        </w:rPr>
      </w:pPr>
      <w:r>
        <w:rPr>
          <w:color w:val="auto"/>
          <w:sz w:val="20"/>
          <w:rFonts w:ascii="Verdana" w:hAnsi="Verdana"/>
        </w:rPr>
        <w:t xml:space="preserve">Yleinen tuoteturvallisuusasetus (GPSR - EU:n asetus 2023/988) Euroopan Unionin (EU) markkinoilla myytäville tuotteille (mukaan lukien tuotteet, joita koskee harmonisoitu lainsäädäntö) otettiin käyttöön, jotta voidaan taata, että EU:ssa myytävät tuotteet ovat korkeiden turvallisuusstandardien mukaisia ja suojaavat kuluttajien terveyttä ja turvallisuutta.</w:t>
      </w:r>
    </w:p>
    <w:p w14:paraId="02BAE741" w14:textId="75DF1A7E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color w:val="auto"/>
          <w:rFonts w:ascii="Verdana" w:hAnsi="Verdana"/>
        </w:rPr>
        <w:t xml:space="preserve">Jarrupalat ja -levyt ovat ajoneuvojen jarrujärjestelmien tärkeitä konponentteja</w:t>
      </w:r>
      <w:r>
        <w:rPr>
          <w:sz w:val="20"/>
          <w:rFonts w:ascii="Verdana" w:hAnsi="Verdana"/>
        </w:rPr>
        <w:t xml:space="preserve">, ja niiden GPSR:n mukaisuuden varmistaminen on tärkeää sekä turvallisuus- ja laatu- että ympäristö- ja valvontasyistä.</w:t>
      </w:r>
    </w:p>
    <w:p w14:paraId="5746665A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 </w:t>
      </w:r>
    </w:p>
    <w:p w14:paraId="42D17E50" w14:textId="415D2127" w:rsidR="00457D6F" w:rsidRPr="00DF580E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bookmarkStart w:id="0" w:name="_Hlk188447919"/>
      <w:r>
        <w:rPr>
          <w:b/>
          <w:sz w:val="20"/>
          <w:u w:val="single"/>
          <w:rFonts w:ascii="Verdana" w:hAnsi="Verdana"/>
        </w:rPr>
        <w:t xml:space="preserve">Moottoripyörän ja auton jarrupalojen tuotekuvaus</w:t>
      </w:r>
      <w:r>
        <w:rPr>
          <w:b/>
          <w:sz w:val="20"/>
          <w:u w:val="single"/>
          <w:rFonts w:ascii="Verdana" w:hAnsi="Verdana"/>
        </w:rPr>
        <w:t xml:space="preserve"> </w:t>
      </w:r>
    </w:p>
    <w:bookmarkEnd w:id="0"/>
    <w:p w14:paraId="79E797F4" w14:textId="77777777" w:rsidR="00457D6F" w:rsidRPr="00DF580E" w:rsidRDefault="00457D6F" w:rsidP="00457D6F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14:paraId="44BD6420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Toiminta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Jarrupalat on suunniteltu tuottamaan kitkaa painettaessa jarrulevyä vasten, jolloin ajoneuvon vauhti hidastuu tai pysähtyy tehokkaasti.</w:t>
      </w:r>
    </w:p>
    <w:p w14:paraId="30B6FC76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bookmarkStart w:id="1" w:name="_Hlk188448356"/>
      <w:r>
        <w:rPr>
          <w:sz w:val="20"/>
          <w:b/>
          <w:rFonts w:ascii="Verdana" w:hAnsi="Verdana"/>
        </w:rPr>
        <w:t xml:space="preserve">Materiaaliseos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Jarrupalat on valmistettu metallia, keramiikkaa ja orgaanisia yhdisteitä sisältävästä materiaaliseoksesta, joka on valittu huolellisesti materiaalien kestävyyden, turvallisuuden ja suorituskykyominaisuuksien perusteella.</w:t>
      </w:r>
    </w:p>
    <w:bookmarkEnd w:id="1"/>
    <w:p w14:paraId="770016BA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Käyttökohteet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Näitä jarrupaloja käytetään henkilöautoissa, kaupallisissa ajoneuvoissa, moottoripyörissä jne.</w:t>
      </w:r>
    </w:p>
    <w:p w14:paraId="5974D1EF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Koko ja mallit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Saatavilla on useita eri kokoja ja malleja, jotka sopivat eri ajoneuvomalleihin ja jarrujärjestelmiin.</w:t>
      </w:r>
    </w:p>
    <w:p w14:paraId="71A69B1B" w14:textId="77777777" w:rsidR="00457D6F" w:rsidRPr="00A43A3F" w:rsidRDefault="00457D6F" w:rsidP="00457D6F">
      <w:pPr>
        <w:pStyle w:val="Default"/>
        <w:rPr>
          <w:rFonts w:ascii="Verdana" w:hAnsi="Verdana"/>
          <w:sz w:val="20"/>
          <w:szCs w:val="20"/>
          <w:highlight w:val="yellow"/>
        </w:rPr>
      </w:pPr>
    </w:p>
    <w:p w14:paraId="46128D20" w14:textId="45074C4C" w:rsidR="00422B2F" w:rsidRPr="00DF580E" w:rsidRDefault="00422B2F" w:rsidP="00422B2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Moottoripyörän ja auton jarrulevyjen tuotekuvaus</w:t>
      </w:r>
    </w:p>
    <w:p w14:paraId="1184AF2D" w14:textId="77777777" w:rsidR="00422B2F" w:rsidRPr="00DF580E" w:rsidRDefault="00422B2F" w:rsidP="00457D6F">
      <w:pPr>
        <w:pStyle w:val="Default"/>
        <w:rPr>
          <w:rFonts w:ascii="Verdana" w:hAnsi="Verdana"/>
          <w:sz w:val="20"/>
          <w:szCs w:val="20"/>
        </w:rPr>
      </w:pPr>
    </w:p>
    <w:p w14:paraId="022C749B" w14:textId="2FE154FA" w:rsidR="00422B2F" w:rsidRPr="00EB5263" w:rsidRDefault="00B8041C" w:rsidP="00EB5263">
      <w:pPr>
        <w:pStyle w:val="Default"/>
        <w:numPr>
          <w:ilvl w:val="0"/>
          <w:numId w:val="6"/>
        </w:numPr>
        <w:rPr>
          <w:b/>
          <w:bCs/>
          <w:color w:val="000000" w:themeColor="text1"/>
          <w:sz w:val="20"/>
          <w:szCs w:val="20"/>
          <w:rFonts w:ascii="Verdana" w:hAnsi="Verdana" w:cs="Vrinda"/>
        </w:rPr>
      </w:pPr>
      <w:r>
        <w:rPr>
          <w:color w:val="000000" w:themeColor="text1"/>
          <w:sz w:val="20"/>
          <w:b/>
          <w:rFonts w:ascii="Verdana" w:hAnsi="Verdana"/>
        </w:rPr>
        <w:t xml:space="preserve">Toiminta</w:t>
      </w:r>
      <w:r>
        <w:rPr>
          <w:color w:val="000000" w:themeColor="text1"/>
          <w:sz w:val="20"/>
          <w:rFonts w:ascii="Verdana" w:hAnsi="Verdana"/>
        </w:rPr>
        <w:t xml:space="preserve">:</w:t>
      </w:r>
      <w:r>
        <w:rPr>
          <w:color w:val="000000" w:themeColor="text1"/>
          <w:sz w:val="20"/>
          <w:rFonts w:ascii="Verdana" w:hAnsi="Verdana"/>
        </w:rPr>
        <w:t xml:space="preserve"> </w:t>
      </w:r>
      <w:r>
        <w:rPr>
          <w:color w:val="000000" w:themeColor="text1"/>
          <w:sz w:val="20"/>
          <w:rFonts w:ascii="Verdana" w:hAnsi="Verdana"/>
        </w:rPr>
        <w:t xml:space="preserve">Jarrulevyt on suunniteltu 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pyörimään renkaiden mukana.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 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Jarrusatuloihin asennettavat jarrupalat puristuvat näihin levyihin renkaiden pysäyttämiseksi tai hidastamiseksi.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 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Kun jarrujärjestelmää käytetään, jarrupalat puristuvat levyjä vasten synnyttäen kitkaa, mikä muuttaa kineettisen energian lämpöenergiaksi.</w:t>
      </w:r>
    </w:p>
    <w:p w14:paraId="3E552E7A" w14:textId="265EC8C0" w:rsidR="00B8041C" w:rsidRPr="00EB5263" w:rsidRDefault="00B8041C" w:rsidP="00422B2F">
      <w:pPr>
        <w:pStyle w:val="Default"/>
        <w:numPr>
          <w:ilvl w:val="0"/>
          <w:numId w:val="1"/>
        </w:numPr>
        <w:rPr>
          <w:color w:val="000000" w:themeColor="text1"/>
          <w:sz w:val="20"/>
          <w:szCs w:val="20"/>
          <w:rFonts w:ascii="Verdana" w:hAnsi="Verdana"/>
        </w:rPr>
      </w:pPr>
      <w:r>
        <w:rPr>
          <w:color w:val="000000" w:themeColor="text1"/>
          <w:sz w:val="20"/>
          <w:b/>
          <w:rFonts w:ascii="Verdana" w:hAnsi="Verdana"/>
        </w:rPr>
        <w:t xml:space="preserve">Materiaaliseos</w:t>
      </w:r>
      <w:r>
        <w:rPr>
          <w:color w:val="000000" w:themeColor="text1"/>
          <w:sz w:val="20"/>
          <w:rFonts w:ascii="Verdana" w:hAnsi="Verdana"/>
        </w:rPr>
        <w:t xml:space="preserve">:</w:t>
      </w:r>
      <w:r>
        <w:rPr>
          <w:color w:val="000000" w:themeColor="text1"/>
          <w:sz w:val="20"/>
          <w:rFonts w:ascii="Verdana" w:hAnsi="Verdana"/>
        </w:rPr>
        <w:t xml:space="preserve"> </w:t>
      </w:r>
      <w:r>
        <w:rPr>
          <w:color w:val="000000" w:themeColor="text1"/>
          <w:sz w:val="20"/>
          <w:rFonts w:ascii="Verdana" w:hAnsi="Verdana"/>
        </w:rPr>
        <w:t xml:space="preserve">Jarrulevyt on valmistettu joko valuraudasta, ruostumattomasta ja miedosta teräksestä käyttötarkoituksesta riippuen ja ne on valittu huolellisesti kestävyytensä, turvallisuutensa ja suorituskykyominaisuuksiensa perusteella.</w:t>
      </w:r>
    </w:p>
    <w:p w14:paraId="1403165C" w14:textId="7024F161" w:rsidR="00A43A3F" w:rsidRDefault="00A43A3F" w:rsidP="00A43A3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Käyttökohteet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Näitä jarrulevyjä käytetään henkilöautoissa, kaupallisissa ajoneuvoissa ja moottoripyörissä.</w:t>
      </w:r>
    </w:p>
    <w:p w14:paraId="60596E8F" w14:textId="3C497F8E" w:rsidR="00422B2F" w:rsidRPr="00B8041C" w:rsidRDefault="00A43A3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Koko ja mallit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Saatavilla on useita eri kokoja ja malleja, jotka sopivat eri ajoneuvomalleihin ja jarrujärjestelmiin</w:t>
      </w:r>
    </w:p>
    <w:p w14:paraId="4C1A7A1B" w14:textId="77777777" w:rsidR="00422B2F" w:rsidRPr="00422B2F" w:rsidRDefault="00422B2F" w:rsidP="00457D6F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1F99607C" w14:textId="61F3413C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Tekniset asiakirjat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Valmistaja on ylläpitänyt tarkkoja teknisia asiakirjoja, jotka sisältävät seuraavat tiedot:</w:t>
      </w:r>
    </w:p>
    <w:p w14:paraId="5A172A52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45BF6B3F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Suunnittelu- ja valmistusprosessit.</w:t>
      </w:r>
    </w:p>
    <w:p w14:paraId="5B823976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Turvallisuus- ja suorituskykytestien tulokset.</w:t>
      </w:r>
    </w:p>
    <w:p w14:paraId="2DE33B16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Riskien arviointi ja niiden minimointitoimenpiteet.</w:t>
      </w:r>
    </w:p>
    <w:p w14:paraId="015E7EF5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Asetustenmukaisuussertifikaatit akkreditoiduilta laboratorioilta.</w:t>
      </w:r>
    </w:p>
    <w:p w14:paraId="213926D1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2892E10B" w14:textId="77777777" w:rsidR="00457D6F" w:rsidRPr="00422B2F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Asetukset</w:t>
      </w:r>
    </w:p>
    <w:p w14:paraId="0F455ACF" w14:textId="77777777" w:rsidR="00C3368F" w:rsidRDefault="00C3368F" w:rsidP="00457D6F">
      <w:pPr>
        <w:pStyle w:val="Default"/>
        <w:rPr>
          <w:rFonts w:ascii="Verdana" w:hAnsi="Verdana"/>
          <w:sz w:val="20"/>
          <w:szCs w:val="20"/>
        </w:rPr>
      </w:pPr>
    </w:p>
    <w:p w14:paraId="3BD117FF" w14:textId="3E52F31C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Olemme maininneet muutamia alla mainittujen asetusten tärkeimpiä kohtia ja osoitamme, kuinka tuotteemme vastaavat näitä vaatimuksia:</w:t>
      </w:r>
    </w:p>
    <w:p w14:paraId="5F9257BB" w14:textId="77777777" w:rsidR="00457D6F" w:rsidRPr="00422B2F" w:rsidRDefault="00457D6F" w:rsidP="00457D6F">
      <w:pPr>
        <w:pStyle w:val="Default"/>
        <w:rPr>
          <w:rFonts w:ascii="Verdana" w:hAnsi="Verdana"/>
          <w:b/>
          <w:bCs/>
          <w:color w:val="auto"/>
          <w:sz w:val="20"/>
          <w:szCs w:val="20"/>
        </w:rPr>
      </w:pPr>
    </w:p>
    <w:p w14:paraId="0C3C8B09" w14:textId="77777777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Kohta 5</w:t>
      </w:r>
    </w:p>
    <w:p w14:paraId="09AE938B" w14:textId="77777777" w:rsidR="00457D6F" w:rsidRPr="00422B2F" w:rsidRDefault="00457D6F" w:rsidP="00457D6F">
      <w:pPr>
        <w:pStyle w:val="Default"/>
        <w:rPr>
          <w:color w:val="auto"/>
          <w:sz w:val="20"/>
          <w:szCs w:val="20"/>
          <w:rFonts w:ascii="Verdana" w:hAnsi="Verdana"/>
        </w:rPr>
      </w:pPr>
      <w:r>
        <w:rPr>
          <w:color w:val="auto"/>
          <w:sz w:val="20"/>
          <w:rFonts w:ascii="Verdana" w:hAnsi="Verdana"/>
        </w:rPr>
        <w:t xml:space="preserve">Yleinen turvallisuusvaatimus:</w:t>
      </w:r>
      <w:r>
        <w:rPr>
          <w:color w:val="auto"/>
          <w:sz w:val="20"/>
          <w:rFonts w:ascii="Verdana" w:hAnsi="Verdana"/>
        </w:rPr>
        <w:t xml:space="preserve"> </w:t>
      </w:r>
      <w:r>
        <w:rPr>
          <w:color w:val="auto"/>
          <w:sz w:val="20"/>
          <w:rFonts w:ascii="Verdana" w:hAnsi="Verdana"/>
        </w:rPr>
        <w:t xml:space="preserve">Kaupallisena toimijana meidän tulee tuoda markkinoille tai saattaa saataville vain turvallisia tuotteita</w:t>
      </w:r>
    </w:p>
    <w:p w14:paraId="095EE29D" w14:textId="77777777" w:rsidR="00457D6F" w:rsidRPr="00422B2F" w:rsidRDefault="00457D6F" w:rsidP="00457D6F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18284D78" w14:textId="77777777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Kohta 6</w:t>
      </w:r>
    </w:p>
    <w:p w14:paraId="5D30C36B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color w:val="auto"/>
          <w:rFonts w:ascii="Verdana" w:hAnsi="Verdana"/>
        </w:rPr>
        <w:t xml:space="preserve">Kohdat, joita arvioidaan tuotteiden turvallisuutta arvioitaessa:</w:t>
      </w:r>
      <w:r>
        <w:rPr>
          <w:sz w:val="20"/>
          <w:color w:val="auto"/>
          <w:rFonts w:ascii="Verdana" w:hAnsi="Verdana"/>
        </w:rPr>
        <w:t xml:space="preserve"> </w:t>
      </w:r>
      <w:r>
        <w:rPr>
          <w:sz w:val="20"/>
          <w:color w:val="auto"/>
          <w:rFonts w:ascii="Verdana" w:hAnsi="Verdana"/>
        </w:rPr>
        <w:t xml:space="preserve">Arvioitaessa, ovatko tuotteemme turvallisia, huomioimme tuotteen ominaisuudet, mukaan lukien sen mallin, </w:t>
      </w:r>
      <w:r>
        <w:rPr>
          <w:sz w:val="20"/>
          <w:rFonts w:ascii="Verdana" w:hAnsi="Verdana"/>
        </w:rPr>
        <w:t xml:space="preserve">tekniset ominaisuudet, koostumuksen, pakkauksen, kokoamisohjeet ja kun sovellettavissa, asennus, käyttö ja huolto.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Asennusohjeet toimitetaan tuotteiden mukana mutta ne ovat saatavilla myös verkosta.</w:t>
      </w:r>
    </w:p>
    <w:p w14:paraId="32C5BD02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Lisäksi arvioimme seuraavia kohtia:</w:t>
      </w:r>
    </w:p>
    <w:p w14:paraId="66F0C719" w14:textId="5BECA899" w:rsidR="00457D6F" w:rsidRPr="00EB5263" w:rsidRDefault="00457D6F" w:rsidP="00457D6F">
      <w:pPr>
        <w:pStyle w:val="Default"/>
        <w:numPr>
          <w:ilvl w:val="0"/>
          <w:numId w:val="5"/>
        </w:numPr>
        <w:rPr>
          <w:color w:val="000000" w:themeColor="text1"/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Vaikutus muihin tuotteisiin, sillä osamme voivat toimia johteena muiden osien välillä (esim. </w:t>
      </w:r>
      <w:r>
        <w:rPr>
          <w:sz w:val="20"/>
          <w:color w:val="000000" w:themeColor="text1"/>
          <w:rFonts w:ascii="Verdana" w:hAnsi="Verdana"/>
        </w:rPr>
        <w:t xml:space="preserve">levyt ja satulat).</w:t>
      </w:r>
    </w:p>
    <w:p w14:paraId="3E12EDF6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Muiden tuotteiden mahdollinen vaikutus tuotteisiimme, kun se on kohtuullisesti ennustettavissa.</w:t>
      </w:r>
    </w:p>
    <w:p w14:paraId="773FD513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Esitystapa, merkinnät, varoitukset ja ohjeet turvalliseen käyttöön.</w:t>
      </w:r>
    </w:p>
    <w:p w14:paraId="66DE2A84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Tuotteidemme sopivuus useille eri kuluttajaryhmille, mukaan lukien henkilöt, joilla on toiminnanrajoitteita, ja niiden turvallisuusseuraamukset.</w:t>
      </w:r>
    </w:p>
    <w:p w14:paraId="74120A74" w14:textId="77777777" w:rsidR="00457D6F" w:rsidRPr="00422B2F" w:rsidRDefault="00457D6F" w:rsidP="00457D6F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5E6FB5FE" w14:textId="4FEE0545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Kohdat 7 ja 8</w:t>
      </w:r>
    </w:p>
    <w:p w14:paraId="7EA5AF01" w14:textId="0D01D4CB" w:rsidR="00457D6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Olettamus yleisen turvallisuusvaatimuksen mukaisuudesta:</w:t>
      </w:r>
      <w:r>
        <w:rPr>
          <w:sz w:val="20"/>
          <w:rFonts w:ascii="Verdana" w:hAnsi="Verdana"/>
        </w:rPr>
        <w:t xml:space="preserve"> </w:t>
      </w:r>
      <w:r>
        <w:rPr>
          <w:sz w:val="20"/>
          <w:rFonts w:ascii="Verdana" w:hAnsi="Verdana"/>
        </w:rPr>
        <w:t xml:space="preserve">Tuotteemme ovat vaatimuksen mukaisia ja ne on testattu itsenäisesti asiaankuuluvien eurooppalaisten ja kansainvälisten standardien mukaisesti.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Soveltuvissa tapauksissa tuotteemme on hyväksytty myös ECE säännön numero 90, Kiinan pakollisen sertifioinnin (CCC), SAE J2975 - ja SAE J661 - sekä TUV/KBA -asetusten mukaiseksi.</w:t>
      </w:r>
      <w:r>
        <w:rPr>
          <w:sz w:val="20"/>
          <w:rFonts w:ascii="Verdana" w:hAnsi="Verdana"/>
        </w:rPr>
        <w:t xml:space="preserve">  </w:t>
      </w:r>
      <w:r>
        <w:rPr>
          <w:sz w:val="20"/>
          <w:rFonts w:ascii="Verdana" w:hAnsi="Verdana"/>
        </w:rPr>
        <w:t xml:space="preserve">Tuotteet eivät sisällä direktiivissä 2000/53/EU (romuajoneuvot) mainittuja vaarallisia aineita enempää kuin direktiivin mainitsema sallittu määrä.</w:t>
      </w:r>
    </w:p>
    <w:p w14:paraId="2FAD1570" w14:textId="77777777" w:rsidR="00FA5EC1" w:rsidRDefault="00FA5EC1" w:rsidP="00FA5EC1">
      <w:pPr>
        <w:pStyle w:val="Default"/>
        <w:rPr>
          <w:rFonts w:ascii="Verdana" w:hAnsi="Verdana"/>
          <w:sz w:val="20"/>
          <w:szCs w:val="20"/>
        </w:rPr>
      </w:pPr>
    </w:p>
    <w:p w14:paraId="3537C27C" w14:textId="6CE8635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372CD21C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Tuotteemme ovat EU:n standardien mukaisia</w:t>
      </w:r>
      <w:r>
        <w:rPr>
          <w:sz w:val="20"/>
          <w:rFonts w:ascii="Verdana" w:hAnsi="Verdana"/>
        </w:rPr>
        <w:t xml:space="preserve"> </w:t>
      </w:r>
    </w:p>
    <w:p w14:paraId="0CC63F59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Noudatamme sovellettavia kansainvälisiä standardeja ja tarvittaessa käytämme ulkopuolisia tutkijatahoja suorittamaan erikoistuneen testaamisen.</w:t>
      </w:r>
    </w:p>
    <w:p w14:paraId="2C78E265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Tuotteemme parantavat kuluttajaturvallisuutta ja ne on todettu toimiviksi vaativissa olosuhteissa.</w:t>
      </w:r>
    </w:p>
    <w:p w14:paraId="349204D9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60D0CF99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Tällä </w:t>
      </w:r>
      <w:r>
        <w:rPr>
          <w:sz w:val="20"/>
          <w:b/>
          <w:rFonts w:ascii="Verdana" w:hAnsi="Verdana"/>
        </w:rPr>
        <w:t xml:space="preserve">Valmistuksen vaatimustenmukaisuusilmoituksella</w:t>
      </w:r>
      <w:r>
        <w:rPr>
          <w:sz w:val="20"/>
          <w:rFonts w:ascii="Verdana" w:hAnsi="Verdana"/>
        </w:rPr>
        <w:t xml:space="preserve"> vahvistetaan, että tuotteemme ovat </w:t>
      </w:r>
      <w:r>
        <w:rPr>
          <w:sz w:val="20"/>
          <w:b/>
          <w:rFonts w:ascii="Verdana" w:hAnsi="Verdana"/>
        </w:rPr>
        <w:t xml:space="preserve">Yleisen tuoteturvallisuusasetuksen </w:t>
      </w:r>
      <w:r>
        <w:rPr>
          <w:sz w:val="20"/>
          <w:rFonts w:ascii="Verdana" w:hAnsi="Verdana"/>
        </w:rPr>
        <w:t xml:space="preserve">mukaisia ja kuluttajien on turvallista käyttää niitä normaaleissa olosuhteissa.</w:t>
      </w:r>
    </w:p>
    <w:p w14:paraId="45B90775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Kaikki valmistetut tuotteet testataan ja ne ovat jäljitettävissä viranomaisstandardien mukaisesti. Useat tunnustetut elimet suorittavat niiden tuotantoprosesseille ulkoiset arvioinnit.</w:t>
      </w:r>
    </w:p>
    <w:p w14:paraId="665FFC67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Tämä ilmoitus sisältää:</w:t>
      </w:r>
    </w:p>
    <w:p w14:paraId="0B62E0A6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Tuotteen tiedot</w:t>
      </w:r>
    </w:p>
    <w:p w14:paraId="6B5102FD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Turvallisuuden arviointiprosessin kuvauksen</w:t>
      </w:r>
    </w:p>
    <w:p w14:paraId="1DEC9714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Luettelon tuotteen turvallisuuden arvioinnissa käytetyistä standardeista.</w:t>
      </w:r>
    </w:p>
    <w:p w14:paraId="186C94CA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Valmistajan tiedot ja yhteystiedot.</w:t>
      </w:r>
    </w:p>
    <w:p w14:paraId="1894B78B" w14:textId="77777777" w:rsidR="00457D6F" w:rsidRDefault="00457D6F" w:rsidP="00457D6F">
      <w:pPr>
        <w:rPr>
          <w:rFonts w:ascii="Verdana" w:hAnsi="Verdana" w:cs="Arial"/>
          <w:color w:val="000000"/>
          <w:sz w:val="20"/>
          <w:szCs w:val="20"/>
          <w:lang w:val="en-GB"/>
        </w:rPr>
      </w:pPr>
    </w:p>
    <w:p w14:paraId="1BB922A9" w14:textId="77777777" w:rsidR="008E1B2A" w:rsidRPr="00422B2F" w:rsidRDefault="008E1B2A" w:rsidP="00457D6F">
      <w:pPr>
        <w:rPr>
          <w:rFonts w:ascii="Verdana" w:hAnsi="Verdana" w:cs="Arial"/>
          <w:color w:val="000000"/>
          <w:sz w:val="20"/>
          <w:szCs w:val="20"/>
          <w:lang w:val="en-GB"/>
        </w:rPr>
      </w:pPr>
    </w:p>
    <w:tbl>
      <w:tblPr>
        <w:tblStyle w:val="TableGrid"/>
        <w:tblW w:w="0" w:type="auto"/>
        <w:tblInd w:w="1688" w:type="dxa"/>
        <w:tblLook w:val="04A0" w:firstRow="1" w:lastRow="0" w:firstColumn="1" w:lastColumn="0" w:noHBand="0" w:noVBand="1"/>
      </w:tblPr>
      <w:tblGrid>
        <w:gridCol w:w="1559"/>
        <w:gridCol w:w="2127"/>
        <w:gridCol w:w="3685"/>
      </w:tblGrid>
      <w:tr w:rsidR="00457D6F" w:rsidRPr="00422B2F" w14:paraId="27EC4A20" w14:textId="77777777" w:rsidTr="008C705A">
        <w:tc>
          <w:tcPr>
            <w:tcW w:w="1559" w:type="dxa"/>
          </w:tcPr>
          <w:p w14:paraId="10A7E360" w14:textId="77777777" w:rsidR="00457D6F" w:rsidRPr="00C3368F" w:rsidRDefault="00457D6F" w:rsidP="00DE10C3">
            <w:pPr>
              <w:rPr>
                <w:color w:val="000000"/>
                <w:sz w:val="96"/>
                <w:szCs w:val="96"/>
                <w:rFonts w:ascii="Verdana" w:hAnsi="Verdana" w:cs="Arial"/>
              </w:rPr>
            </w:pPr>
            <w:bookmarkStart w:id="2" w:name="_Hlk187826583"/>
            <w:r>
              <w:rPr>
                <w:color w:val="000000"/>
                <w:sz w:val="96"/>
                <w:rFonts w:ascii="Verdana" w:hAnsi="Verdana"/>
              </w:rPr>
              <w:t xml:space="preserve">EC</w:t>
            </w:r>
          </w:p>
        </w:tc>
        <w:tc>
          <w:tcPr>
            <w:tcW w:w="2127" w:type="dxa"/>
          </w:tcPr>
          <w:p w14:paraId="13CA8D81" w14:textId="77777777" w:rsidR="00457D6F" w:rsidRPr="00C3368F" w:rsidRDefault="00457D6F" w:rsidP="00DE10C3">
            <w:pPr>
              <w:rPr>
                <w:color w:val="000000"/>
                <w:sz w:val="96"/>
                <w:szCs w:val="96"/>
                <w:rFonts w:ascii="Verdana" w:hAnsi="Verdana" w:cs="Arial"/>
              </w:rPr>
            </w:pPr>
            <w:r>
              <w:rPr>
                <w:color w:val="000000"/>
                <w:sz w:val="96"/>
                <w:rFonts w:ascii="Verdana" w:hAnsi="Verdana"/>
              </w:rPr>
              <w:t xml:space="preserve">REP</w:t>
            </w:r>
          </w:p>
        </w:tc>
        <w:tc>
          <w:tcPr>
            <w:tcW w:w="3685" w:type="dxa"/>
          </w:tcPr>
          <w:p w14:paraId="5CA3471B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EBC Brakes Germany e.K.</w:t>
            </w:r>
          </w:p>
          <w:p w14:paraId="7EEBCE51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Hertha-Sponer-Str.9</w:t>
            </w:r>
          </w:p>
          <w:p w14:paraId="3756EEC4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28816 Stuhr</w:t>
            </w:r>
          </w:p>
          <w:p w14:paraId="1D129A11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Germany</w:t>
            </w:r>
          </w:p>
          <w:p w14:paraId="6DAD2EE0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hyperlink r:id="rId7" w:history="1">
              <w:r>
                <w:rPr>
                  <w:rStyle w:val="Hyperlink"/>
                  <w:sz w:val="20"/>
                  <w:rFonts w:ascii="Verdana" w:hAnsi="Verdana"/>
                </w:rPr>
                <w:t xml:space="preserve">info@ebc-brakes.de</w:t>
              </w:r>
            </w:hyperlink>
          </w:p>
        </w:tc>
      </w:tr>
      <w:bookmarkEnd w:id="2"/>
    </w:tbl>
    <w:p w14:paraId="47AB2DA9" w14:textId="1F3CC4AB" w:rsidR="0034349A" w:rsidRPr="0034349A" w:rsidRDefault="0034349A" w:rsidP="008B3C98"/>
    <w:sectPr w:rsidR="0034349A" w:rsidRPr="0034349A" w:rsidSect="00CD0BFD">
      <w:headerReference w:type="default" r:id="rId8"/>
      <w:footerReference w:type="default" r:id="rId9"/>
      <w:pgSz w:w="11900" w:h="16840"/>
      <w:pgMar w:top="3260" w:right="560" w:bottom="1440" w:left="567" w:header="283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C7A45" w14:textId="77777777" w:rsidR="0027329A" w:rsidRDefault="0027329A">
      <w:r>
        <w:separator/>
      </w:r>
    </w:p>
  </w:endnote>
  <w:endnote w:type="continuationSeparator" w:id="0">
    <w:p w14:paraId="5CABC79E" w14:textId="77777777" w:rsidR="0027329A" w:rsidRDefault="0027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4010" w14:textId="77777777" w:rsidR="0034349A" w:rsidRDefault="0034349A">
    <w:pPr>
      <w:pStyle w:val="Footer"/>
    </w:pPr>
    <w:r>
      <w:drawing>
        <wp:anchor distT="0" distB="0" distL="114300" distR="114300" simplePos="0" relativeHeight="251661312" behindDoc="0" locked="0" layoutInCell="1" allowOverlap="1" wp14:anchorId="389845DD" wp14:editId="44BD0634">
          <wp:simplePos x="0" y="0"/>
          <wp:positionH relativeFrom="page">
            <wp:posOffset>18415</wp:posOffset>
          </wp:positionH>
          <wp:positionV relativeFrom="page">
            <wp:posOffset>9994900</wp:posOffset>
          </wp:positionV>
          <wp:extent cx="7518400" cy="694690"/>
          <wp:effectExtent l="0" t="0" r="0" b="0"/>
          <wp:wrapTight wrapText="bothSides">
            <wp:wrapPolygon edited="0">
              <wp:start x="0" y="0"/>
              <wp:lineTo x="0" y="20534"/>
              <wp:lineTo x="21527" y="20534"/>
              <wp:lineTo x="21527" y="0"/>
              <wp:lineTo x="0" y="0"/>
            </wp:wrapPolygon>
          </wp:wrapTight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 botto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08C44" w14:textId="77777777" w:rsidR="0027329A" w:rsidRDefault="0027329A">
      <w:r>
        <w:separator/>
      </w:r>
    </w:p>
  </w:footnote>
  <w:footnote w:type="continuationSeparator" w:id="0">
    <w:p w14:paraId="42C6D7CE" w14:textId="77777777" w:rsidR="0027329A" w:rsidRDefault="0027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9B167" w14:textId="77777777" w:rsidR="0034349A" w:rsidRDefault="0034349A">
    <w:pPr>
      <w:pStyle w:val="Header"/>
    </w:pPr>
    <w:bookmarkStart w:id="3" w:name="_MacBuGuideStaticData_15480H"/>
    <w:bookmarkStart w:id="4" w:name="_MacBuGuideStaticData_2940H"/>
    <w:r>
      <w:drawing>
        <wp:anchor distT="0" distB="0" distL="114300" distR="114300" simplePos="0" relativeHeight="251659264" behindDoc="0" locked="0" layoutInCell="1" allowOverlap="1" wp14:anchorId="1ED9C529" wp14:editId="236D7117">
          <wp:simplePos x="0" y="0"/>
          <wp:positionH relativeFrom="page">
            <wp:posOffset>12700</wp:posOffset>
          </wp:positionH>
          <wp:positionV relativeFrom="page">
            <wp:posOffset>7620</wp:posOffset>
          </wp:positionV>
          <wp:extent cx="7556500" cy="1850390"/>
          <wp:effectExtent l="0" t="0" r="12700" b="3810"/>
          <wp:wrapTight wrapText="bothSides">
            <wp:wrapPolygon edited="0">
              <wp:start x="0" y="0"/>
              <wp:lineTo x="0" y="21348"/>
              <wp:lineTo x="21564" y="21348"/>
              <wp:lineTo x="21564" y="0"/>
              <wp:lineTo x="0" y="0"/>
            </wp:wrapPolygon>
          </wp:wrapTight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 - 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8503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31C4D"/>
    <w:multiLevelType w:val="hybridMultilevel"/>
    <w:tmpl w:val="F676A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02A28"/>
    <w:multiLevelType w:val="hybridMultilevel"/>
    <w:tmpl w:val="16DE9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22B2B"/>
    <w:multiLevelType w:val="hybridMultilevel"/>
    <w:tmpl w:val="AFE0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85C5A"/>
    <w:multiLevelType w:val="hybridMultilevel"/>
    <w:tmpl w:val="6712A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73719"/>
    <w:multiLevelType w:val="hybridMultilevel"/>
    <w:tmpl w:val="EE001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37DA3"/>
    <w:multiLevelType w:val="multilevel"/>
    <w:tmpl w:val="5ED0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360426">
    <w:abstractNumId w:val="5"/>
  </w:num>
  <w:num w:numId="2" w16cid:durableId="662273965">
    <w:abstractNumId w:val="3"/>
  </w:num>
  <w:num w:numId="3" w16cid:durableId="1726220157">
    <w:abstractNumId w:val="4"/>
  </w:num>
  <w:num w:numId="4" w16cid:durableId="1156533830">
    <w:abstractNumId w:val="0"/>
  </w:num>
  <w:num w:numId="5" w16cid:durableId="1488594627">
    <w:abstractNumId w:val="1"/>
  </w:num>
  <w:num w:numId="6" w16cid:durableId="2030983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dirty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796927"/>
    <w:rsid w:val="000317CF"/>
    <w:rsid w:val="000515D9"/>
    <w:rsid w:val="00070AE7"/>
    <w:rsid w:val="000B6B6E"/>
    <w:rsid w:val="001336DA"/>
    <w:rsid w:val="001756F6"/>
    <w:rsid w:val="0027329A"/>
    <w:rsid w:val="002912A5"/>
    <w:rsid w:val="002D3BC0"/>
    <w:rsid w:val="003135BD"/>
    <w:rsid w:val="0034349A"/>
    <w:rsid w:val="00364973"/>
    <w:rsid w:val="003A61EE"/>
    <w:rsid w:val="00422B2F"/>
    <w:rsid w:val="00440998"/>
    <w:rsid w:val="00457D6F"/>
    <w:rsid w:val="00493DDA"/>
    <w:rsid w:val="00543258"/>
    <w:rsid w:val="005F1BE0"/>
    <w:rsid w:val="0060174C"/>
    <w:rsid w:val="00631450"/>
    <w:rsid w:val="006D7849"/>
    <w:rsid w:val="00756968"/>
    <w:rsid w:val="0076728F"/>
    <w:rsid w:val="00796927"/>
    <w:rsid w:val="007A6444"/>
    <w:rsid w:val="007D609F"/>
    <w:rsid w:val="00852ABA"/>
    <w:rsid w:val="008A6AAC"/>
    <w:rsid w:val="008B3C98"/>
    <w:rsid w:val="008B7672"/>
    <w:rsid w:val="008C705A"/>
    <w:rsid w:val="008E1B2A"/>
    <w:rsid w:val="009062E7"/>
    <w:rsid w:val="00947215"/>
    <w:rsid w:val="009E28F9"/>
    <w:rsid w:val="00A3223E"/>
    <w:rsid w:val="00A43A3F"/>
    <w:rsid w:val="00A45109"/>
    <w:rsid w:val="00B41328"/>
    <w:rsid w:val="00B62364"/>
    <w:rsid w:val="00B8041C"/>
    <w:rsid w:val="00C22CFC"/>
    <w:rsid w:val="00C3368F"/>
    <w:rsid w:val="00C377CA"/>
    <w:rsid w:val="00C74A23"/>
    <w:rsid w:val="00CD0BFD"/>
    <w:rsid w:val="00D16C56"/>
    <w:rsid w:val="00DF580E"/>
    <w:rsid w:val="00E0218E"/>
    <w:rsid w:val="00E136F5"/>
    <w:rsid w:val="00E15225"/>
    <w:rsid w:val="00E72389"/>
    <w:rsid w:val="00E73A8D"/>
    <w:rsid w:val="00E81C4C"/>
    <w:rsid w:val="00E93B01"/>
    <w:rsid w:val="00EB5263"/>
    <w:rsid w:val="00ED0854"/>
    <w:rsid w:val="00F13684"/>
    <w:rsid w:val="00F63F49"/>
    <w:rsid w:val="00FA5EC1"/>
    <w:rsid w:val="00FD18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233544"/>
  <w15:docId w15:val="{95D05DBA-CFD4-B444-94B4-9D28016E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E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9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9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69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927"/>
    <w:rPr>
      <w:sz w:val="24"/>
      <w:szCs w:val="24"/>
    </w:rPr>
  </w:style>
  <w:style w:type="character" w:customStyle="1" w:styleId="viewbox">
    <w:name w:val="viewbox"/>
    <w:basedOn w:val="DefaultParagraphFont"/>
    <w:rsid w:val="00A45109"/>
  </w:style>
  <w:style w:type="character" w:styleId="Hyperlink">
    <w:name w:val="Hyperlink"/>
    <w:basedOn w:val="DefaultParagraphFont"/>
    <w:rsid w:val="00457D6F"/>
    <w:rPr>
      <w:color w:val="0000FF"/>
      <w:u w:val="single"/>
    </w:rPr>
  </w:style>
  <w:style w:type="paragraph" w:customStyle="1" w:styleId="Default">
    <w:name w:val="Default"/>
    <w:rsid w:val="00457D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/>
    </w:rPr>
  </w:style>
  <w:style w:type="table" w:styleId="TableGrid">
    <w:name w:val="Table Grid"/>
    <w:basedOn w:val="TableNormal"/>
    <w:uiPriority w:val="59"/>
    <w:rsid w:val="00457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bc-brake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4150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Freeman Automotive (UK) Ltd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Brown</dc:creator>
  <cp:lastModifiedBy>Kate Williamson</cp:lastModifiedBy>
  <cp:revision>2</cp:revision>
  <cp:lastPrinted>2015-11-24T11:44:00Z</cp:lastPrinted>
  <dcterms:created xsi:type="dcterms:W3CDTF">2025-02-07T11:20:00Z</dcterms:created>
  <dcterms:modified xsi:type="dcterms:W3CDTF">2025-02-07T11:20:00Z</dcterms:modified>
</cp:coreProperties>
</file>