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Tájékoztatás: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Általános termékbiztonsági rendelet (GPSR), 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2023/988/EU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Bevezetés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Az Európai Unió (EU) piacán értékesített termékekre (beleértve a harmonizált jogszabályok hatálya alá tartozó termékeket is) vonatkozó általános termékbiztonsági rendeletet (GPSR – 2023/988/EU rendelet) azért vezették be, hogy az EU-ban értékesített termékek megfeleljenek a magas szintű biztonsági előírásoknak, védve ezáltal a fogyasztók egészségét és biztonságát.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A fékbetétek és féktárcsák a járművek fékrendszereinek döntő jelentőségű részegységei</w:t>
      </w:r>
      <w:r>
        <w:rPr>
          <w:sz w:val="20"/>
          <w:rFonts w:ascii="Verdana" w:hAnsi="Verdana"/>
        </w:rPr>
        <w:t xml:space="preserve">, így a GPSR-rendeletnek való megfelelésük biztosítása biztonsági, minőségi, környezetvédelmi és szabályozási okokból egyaránt alapvető fontosságú.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Termékleírás a motorkerékpárok és egyéb motoros járművek fékbetéteihez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Funkció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 fékbetétek arra szolgálnak, hogy a féktárcsához nyomva súrlódást hozzanak létre, lehetővé téve a járművek hatékony lassítását vagy megállítását.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Anyagösszetétel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 fékbetétek anyagok keverékéből, például fém, kerámia és szerves vegyületek együtteséből állnak, amelyek gondos kiválasztására tartósságuk, biztonságosságuk és teljesítményjellemzőik alapján kerül sor.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Célalkalmazások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Ezek a fékbetétek személygépkocsikban, haszongépjárművekben, motorkerékpárokban stb. használhatók.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Méretek és változatok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 különböző típusú járművek és fékrendszerek számára többféle megfelelő méret és kivitel áll rendelkezésre.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Termékleírás a motorkerékpárok és egyéb járművek féktárcsáihoz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Funkció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Kialakításuknak megfelelően a féktárcsák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a kerekekkel együtt forognak.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A féknyergekbe beszerelt fékbetétek a kerekek megállítása vagy lassítása érdekében ezekhez a forgó alkatrészekhez nyomódnak hozzá.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A fékrendszer működtetésekor a fékbetétek a féktárcsákhoz nyomódva súrlódást okoznak, amely hőenergiává alakítja át a mozgási energiát.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Anyagösszetétel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A féktárcsák az alkalmazástól függően öntöttvasból, rozsdamentes vagy lágyacélból készülnek, amelyek gondos kiválasztására tartósságuk, biztonságosságuk és teljesítményjellemzőik alapján kerül sor.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Célalkalmazások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Ezek a féktárcsák személygépkocsikban, haszongépjárművekben, motorkerékpárokban használhatók.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Méretek és változatok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 különböző típusú járművek és fékrendszerek számára többféle megfelelő méret és kivitel áll rendelkezésre.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Műszaki dokumentáció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 gyártó részletes műszaki dokumentációt tart fenn, benne az alábbi adatokkal: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Tervezési és gyártási folyamatok.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biztonsági és teljesítményvizsgálatok eredményei.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Kockázatértékelések és kockázatcsökkentő intézkedések.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Akkreditált vizsgálólaboratóriumok által kiadott megfelelőségi tanúsítványok.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Előírások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Az alábbiakban ismertetjük az előírások néhány fontosabb cikkét, és bemutatjuk, hogy termékeink miként felelnek meg ezeknek a követelményeknek: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5. cikk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Általános biztonsági követelmény: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Gazdasági szereplőként csak biztonságos termékeket hozunk forgalomba vagy teszünk elérhetővé a piacon.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6. cikk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A termékek biztonságosságának értékelésére vonatkozó szempontok: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color w:val="auto"/>
          <w:rFonts w:ascii="Verdana" w:hAnsi="Verdana"/>
        </w:rPr>
        <w:t xml:space="preserve">Annak megítélésekor, hogy termékeink biztonságosak-e, figyelembe vesszük a termék jellemzőit, beleértve a kialakítást, </w:t>
      </w:r>
      <w:r>
        <w:rPr>
          <w:sz w:val="20"/>
          <w:rFonts w:ascii="Verdana" w:hAnsi="Verdana"/>
        </w:rPr>
        <w:t xml:space="preserve">a műszaki jellemzőket, az összeállítást, a csomagolást, az összeszerelési útmutatót és adott esetben a fel-, illetve beszerelést, a használatot és a karbantartást.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 szerelési utasításokat nemcsak a termékekhez mellékeljük, hanem online is elérhetők.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Továbbá a következő szempontokat értékeljük: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többi termékre gyakorolt hatás, mivel alkatrészeink más termékek (pl. </w:t>
      </w:r>
      <w:r>
        <w:rPr>
          <w:sz w:val="20"/>
          <w:color w:val="000000" w:themeColor="text1"/>
          <w:rFonts w:ascii="Verdana" w:hAnsi="Verdana"/>
        </w:rPr>
        <w:t xml:space="preserve">féktárcsák és féknyergek)</w:t>
      </w:r>
      <w:r>
        <w:rPr>
          <w:sz w:val="20"/>
          <w:rFonts w:ascii="Verdana" w:hAnsi="Verdana"/>
        </w:rPr>
        <w:t xml:space="preserve"> közötti összekötőelemként működhetnek.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Más termékeknek a mi termékeinkre gyakorolt hatása, amennyiben ez észszerűen előre látható.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biztonságos használatra vonatkozó kiszerelés, címkézés, figyelmeztetések és utasítások.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Termékeink alkalmassága a különböző fogyasztói csoportok számára, beleértve a fogyatékkal élőket is, valamint azok biztonsági vonatkozásai.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7. és 8. cikk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Az általános biztonsági követelménynek való megfelelés vélelme: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Termékeink megfelelnek a vonatkozó európai és nemzetközi szabványoknak, amelyek alapján azokat független vizsgálatoknak vetettük alá.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Ahol szükséges, termékeink az ECE 90-es előírás, a Kínai kötelező tanúsítvány, a SAE J2975 és SAE J661, valamint a TÜV/KBA szerint is jóváhagyással rendelkeznek.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A 2000/53/EU (elhasználódott járművekről szóló) irányelvben felsorolt veszélyes anyagok jelenléte nem haladja meg az irányelvben meghatározott határértékeket.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Termékeink megfelelnek az uniós szabványoknak.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Betartjuk az alkalmazandó nemzetközi szabványokat, és szükség esetén külső tudományos testületeket veszünk igénybe a speciális vizsgálatok elvégzéséhez.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Termékeink fokozzák a fogyasztók biztonságát, és nagy igénybevételt jelentő környezetben is bizonyítottak.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Ez a </w:t>
      </w:r>
      <w:r>
        <w:rPr>
          <w:sz w:val="20"/>
          <w:b/>
          <w:rFonts w:ascii="Verdana" w:hAnsi="Verdana"/>
        </w:rPr>
        <w:t xml:space="preserve">Gyártási megfelelőségi nyilatkozat</w:t>
      </w:r>
      <w:r>
        <w:rPr>
          <w:sz w:val="20"/>
          <w:rFonts w:ascii="Verdana" w:hAnsi="Verdana"/>
        </w:rPr>
        <w:t xml:space="preserve"> azt hivatott megerősíteni, hogy termékeink megfelelnek az </w:t>
      </w:r>
      <w:r>
        <w:rPr>
          <w:sz w:val="20"/>
          <w:b/>
          <w:rFonts w:ascii="Verdana" w:hAnsi="Verdana"/>
        </w:rPr>
        <w:t xml:space="preserve">Általános termékbiztonsági rendeletnek</w:t>
      </w:r>
      <w:r>
        <w:rPr>
          <w:sz w:val="20"/>
          <w:rFonts w:ascii="Verdana" w:hAnsi="Verdana"/>
        </w:rPr>
        <w:t xml:space="preserve">, és normál körülmények között biztonságosan használhatók a fogyasztók által.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Minden gyártott termék a szabályozási előírások szerint teszteken esik át és nyomon követhető, a gyártási folyamatukat ellenőrző rendszereket pedig több elismert szervezet általi külső értékelésnek vetjük alá.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Ez a nyilatkozat a következőket tartalmazza: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termék műszaki adatai.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biztonságértékelési folyamat leírása.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termékbiztonságosság értékeléséhez használt szabványok azonosítása.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gyártó adatai és elérhetősége.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Németország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