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D5ED" w14:textId="77777777" w:rsidR="00457D6F" w:rsidRPr="00422B2F" w:rsidRDefault="00457D6F" w:rsidP="00457D6F">
      <w:pPr>
        <w:rPr>
          <w:color w:val="000000"/>
          <w:sz w:val="20"/>
          <w:szCs w:val="20"/>
          <w:rFonts w:ascii="Verdana" w:hAnsi="Verdana" w:cs="Arial"/>
        </w:rPr>
      </w:pPr>
      <w:r>
        <w:rPr>
          <w:sz w:val="20"/>
          <w:b/>
          <w:color w:val="000000"/>
          <w:rFonts w:ascii="Verdana" w:hAnsi="Verdana"/>
        </w:rPr>
        <w:t xml:space="preserve">Nuoroda:</w:t>
      </w:r>
      <w:r>
        <w:rPr>
          <w:sz w:val="20"/>
          <w:b/>
          <w:color w:val="000000"/>
          <w:rFonts w:ascii="Verdana" w:hAnsi="Verdana"/>
        </w:rPr>
        <w:t xml:space="preserve"> </w:t>
      </w:r>
      <w:r>
        <w:rPr>
          <w:sz w:val="20"/>
          <w:b/>
          <w:color w:val="000000"/>
          <w:rFonts w:ascii="Verdana" w:hAnsi="Verdana"/>
        </w:rPr>
        <w:tab/>
      </w:r>
      <w:r>
        <w:rPr>
          <w:sz w:val="20"/>
          <w:b/>
          <w:color w:val="000000"/>
          <w:rFonts w:ascii="Verdana" w:hAnsi="Verdana"/>
        </w:rPr>
        <w:t xml:space="preserve">Reglamentas (ES</w:t>
      </w:r>
      <w:r>
        <w:rPr>
          <w:sz w:val="20"/>
          <w:rFonts w:ascii="Verdana" w:hAnsi="Verdana"/>
        </w:rPr>
        <w:t xml:space="preserve">)</w:t>
      </w:r>
      <w:r>
        <w:rPr>
          <w:sz w:val="20"/>
          <w:color w:val="111111"/>
          <w:shd w:val="clear" w:color="auto" w:fill="FFFFFF"/>
          <w:rFonts w:ascii="Verdana" w:hAnsi="Verdana"/>
        </w:rPr>
        <w:t xml:space="preserve"> </w:t>
      </w:r>
      <w:r>
        <w:rPr>
          <w:sz w:val="20"/>
          <w:b/>
          <w:color w:val="000000"/>
          <w:rFonts w:ascii="Verdana" w:hAnsi="Verdana"/>
        </w:rPr>
        <w:t xml:space="preserve">2023/988 dėl bendros gaminių saugos (GPSR)</w:t>
      </w:r>
    </w:p>
    <w:p w14:paraId="1C31E60D" w14:textId="77777777" w:rsidR="00457D6F" w:rsidRPr="00422B2F" w:rsidRDefault="00457D6F" w:rsidP="00457D6F">
      <w:pPr>
        <w:pStyle w:val="Default"/>
        <w:rPr>
          <w:rFonts w:ascii="Verdana" w:hAnsi="Verdana"/>
          <w:sz w:val="20"/>
          <w:szCs w:val="20"/>
        </w:rPr>
      </w:pPr>
    </w:p>
    <w:p w14:paraId="41534B5A"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Įvadas</w:t>
      </w:r>
    </w:p>
    <w:p w14:paraId="337E923D" w14:textId="77777777" w:rsidR="00457D6F" w:rsidRPr="00422B2F" w:rsidRDefault="00457D6F" w:rsidP="00457D6F">
      <w:pPr>
        <w:pStyle w:val="Default"/>
        <w:rPr>
          <w:rFonts w:ascii="Verdana" w:hAnsi="Verdana"/>
          <w:b/>
          <w:bCs/>
          <w:sz w:val="20"/>
          <w:szCs w:val="20"/>
          <w:u w:val="single"/>
        </w:rPr>
      </w:pPr>
    </w:p>
    <w:p w14:paraId="19BD0022"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Reglamentas (ES) 2023/988 dėl bendros gaminių saugos (GPSR), skirtas Europos Sąjungos (ES) rinkoje parduodamiems produktams (įskaitant produktus, kuriems taikomi suderinti teisės aktai), buvo įvestas siekiant užtikrinti, kad ES parduodami produktai atitiktų aukštus saugos standartus, ir saugant vartotojų sveikatą ir saugą.</w:t>
      </w:r>
    </w:p>
    <w:p w14:paraId="02BAE741" w14:textId="75DF1A7E" w:rsidR="00457D6F" w:rsidRPr="00422B2F" w:rsidRDefault="00457D6F" w:rsidP="00457D6F">
      <w:pPr>
        <w:pStyle w:val="Default"/>
        <w:rPr>
          <w:sz w:val="20"/>
          <w:szCs w:val="20"/>
          <w:rFonts w:ascii="Verdana" w:hAnsi="Verdana"/>
        </w:rPr>
      </w:pPr>
      <w:r>
        <w:rPr>
          <w:sz w:val="20"/>
          <w:rFonts w:ascii="Verdana" w:hAnsi="Verdana"/>
        </w:rPr>
        <w:t xml:space="preserve">Stabdžių trinkelės ir stabdžių diskai yra esminiai transporto priemonių stabdžių sistemų komponentai, o užtikrinti, kad jie atitiktų GPSR, būtina tiek saugos, tiek kokybės, aplinkosaugos ir reguliavimo tikslais.</w:t>
      </w:r>
    </w:p>
    <w:p w14:paraId="5746665A" w14:textId="77777777" w:rsidR="00457D6F" w:rsidRPr="00422B2F" w:rsidRDefault="00457D6F" w:rsidP="00457D6F">
      <w:pPr>
        <w:pStyle w:val="Default"/>
        <w:rPr>
          <w:sz w:val="20"/>
          <w:szCs w:val="20"/>
          <w:rFonts w:ascii="Verdana" w:hAnsi="Verdana"/>
        </w:rPr>
      </w:pPr>
      <w:r>
        <w:rPr>
          <w:sz w:val="20"/>
          <w:rFonts w:ascii="Verdana" w:hAnsi="Verdana"/>
        </w:rPr>
        <w:t xml:space="preserve"> </w:t>
      </w:r>
    </w:p>
    <w:p w14:paraId="42D17E50" w14:textId="415D2127" w:rsidR="00457D6F" w:rsidRPr="00DF580E" w:rsidRDefault="00457D6F" w:rsidP="00457D6F">
      <w:pPr>
        <w:pStyle w:val="Default"/>
        <w:rPr>
          <w:b/>
          <w:bCs/>
          <w:sz w:val="20"/>
          <w:szCs w:val="20"/>
          <w:u w:val="single"/>
          <w:rFonts w:ascii="Verdana" w:hAnsi="Verdana"/>
        </w:rPr>
      </w:pPr>
      <w:bookmarkStart w:id="0" w:name="_Hlk188447919"/>
      <w:r>
        <w:rPr>
          <w:b/>
          <w:sz w:val="20"/>
          <w:u w:val="single"/>
          <w:rFonts w:ascii="Verdana" w:hAnsi="Verdana"/>
        </w:rPr>
        <w:t xml:space="preserve">Motociklų ir automobilių stabdžių trinkelių produkto aprašas</w:t>
      </w:r>
      <w:r>
        <w:rPr>
          <w:b/>
          <w:sz w:val="20"/>
          <w:u w:val="single"/>
          <w:rFonts w:ascii="Verdana" w:hAnsi="Verdana"/>
        </w:rPr>
        <w:t xml:space="preserve"> </w:t>
      </w:r>
    </w:p>
    <w:bookmarkEnd w:id="0"/>
    <w:p w14:paraId="79E797F4" w14:textId="77777777" w:rsidR="00457D6F" w:rsidRPr="00DF580E" w:rsidRDefault="00457D6F" w:rsidP="00457D6F">
      <w:pPr>
        <w:pStyle w:val="Default"/>
        <w:rPr>
          <w:rFonts w:ascii="Verdana" w:hAnsi="Verdana"/>
          <w:b/>
          <w:bCs/>
          <w:sz w:val="20"/>
          <w:szCs w:val="20"/>
          <w:u w:val="single"/>
        </w:rPr>
      </w:pPr>
    </w:p>
    <w:p w14:paraId="44BD6420" w14:textId="77777777" w:rsidR="00457D6F" w:rsidRPr="00DF580E" w:rsidRDefault="00457D6F" w:rsidP="00457D6F">
      <w:pPr>
        <w:pStyle w:val="Default"/>
        <w:numPr>
          <w:ilvl w:val="0"/>
          <w:numId w:val="1"/>
        </w:numPr>
        <w:rPr>
          <w:sz w:val="20"/>
          <w:szCs w:val="20"/>
          <w:rFonts w:ascii="Verdana" w:hAnsi="Verdana"/>
        </w:rPr>
      </w:pPr>
      <w:r>
        <w:rPr>
          <w:sz w:val="20"/>
          <w:b/>
          <w:bCs/>
          <w:rFonts w:ascii="Verdana" w:hAnsi="Verdana"/>
        </w:rPr>
        <w:t xml:space="preserve">Funkcija.</w:t>
      </w:r>
      <w:r>
        <w:rPr>
          <w:sz w:val="20"/>
          <w:rFonts w:ascii="Verdana" w:hAnsi="Verdana"/>
        </w:rPr>
        <w:t xml:space="preserve"> </w:t>
      </w:r>
      <w:r>
        <w:rPr>
          <w:sz w:val="20"/>
          <w:rFonts w:ascii="Verdana" w:hAnsi="Verdana"/>
        </w:rPr>
        <w:t xml:space="preserve">Stabdžių trinkelės sukurtos taip, kad spaudžiant stabdžių diską susidarytų trintis. Jos leidžia transporto priemonėms efektyviai sulėtinti greitį arba sustoti.</w:t>
      </w:r>
    </w:p>
    <w:p w14:paraId="30B6FC76" w14:textId="77777777" w:rsidR="00457D6F" w:rsidRPr="00DF580E" w:rsidRDefault="00457D6F" w:rsidP="00457D6F">
      <w:pPr>
        <w:pStyle w:val="Default"/>
        <w:numPr>
          <w:ilvl w:val="0"/>
          <w:numId w:val="1"/>
        </w:numPr>
        <w:rPr>
          <w:sz w:val="20"/>
          <w:szCs w:val="20"/>
          <w:rFonts w:ascii="Verdana" w:hAnsi="Verdana"/>
        </w:rPr>
      </w:pPr>
      <w:bookmarkStart w:id="1" w:name="_Hlk188448356"/>
      <w:r>
        <w:rPr>
          <w:sz w:val="20"/>
          <w:b/>
          <w:bCs/>
          <w:rFonts w:ascii="Verdana" w:hAnsi="Verdana"/>
        </w:rPr>
        <w:t xml:space="preserve">Medžiagų sudėtis.</w:t>
      </w:r>
      <w:r>
        <w:rPr>
          <w:sz w:val="20"/>
          <w:rFonts w:ascii="Verdana" w:hAnsi="Verdana"/>
        </w:rPr>
        <w:t xml:space="preserve"> </w:t>
      </w:r>
      <w:r>
        <w:rPr>
          <w:sz w:val="20"/>
          <w:rFonts w:ascii="Verdana" w:hAnsi="Verdana"/>
        </w:rPr>
        <w:t xml:space="preserve">Stabdžių trinkelės yra sudarytos iš tokių medžiagų kaip metalas, keramika ir organiniai junginiai. Jos kruopščiai atrinktos pagal ilgaamžiškumą, saugą ir veikimo charakteristikas.</w:t>
      </w:r>
    </w:p>
    <w:bookmarkEnd w:id="1"/>
    <w:p w14:paraId="770016BA" w14:textId="77777777" w:rsidR="00457D6F" w:rsidRPr="00DF580E" w:rsidRDefault="00457D6F" w:rsidP="00457D6F">
      <w:pPr>
        <w:pStyle w:val="Default"/>
        <w:numPr>
          <w:ilvl w:val="0"/>
          <w:numId w:val="1"/>
        </w:numPr>
        <w:rPr>
          <w:sz w:val="20"/>
          <w:szCs w:val="20"/>
          <w:rFonts w:ascii="Verdana" w:hAnsi="Verdana"/>
        </w:rPr>
      </w:pPr>
      <w:r>
        <w:rPr>
          <w:sz w:val="20"/>
          <w:b/>
          <w:bCs/>
          <w:rFonts w:ascii="Verdana" w:hAnsi="Verdana"/>
        </w:rPr>
        <w:t xml:space="preserve">Tikslinės naudojimo sritys.</w:t>
      </w:r>
      <w:r>
        <w:rPr>
          <w:sz w:val="20"/>
          <w:rFonts w:ascii="Verdana" w:hAnsi="Verdana"/>
        </w:rPr>
        <w:t xml:space="preserve"> </w:t>
      </w:r>
      <w:r>
        <w:rPr>
          <w:sz w:val="20"/>
          <w:rFonts w:ascii="Verdana" w:hAnsi="Verdana"/>
        </w:rPr>
        <w:t xml:space="preserve">Šios stabdžių trinkelės naudojamos lengvuosiuose automobiliuose, komercinėse transporto priemonėse, motocikluose ir kt.</w:t>
      </w:r>
    </w:p>
    <w:p w14:paraId="5974D1EF" w14:textId="77777777" w:rsidR="00457D6F" w:rsidRPr="00DF580E" w:rsidRDefault="00457D6F" w:rsidP="00457D6F">
      <w:pPr>
        <w:pStyle w:val="Default"/>
        <w:numPr>
          <w:ilvl w:val="0"/>
          <w:numId w:val="1"/>
        </w:numPr>
        <w:rPr>
          <w:sz w:val="20"/>
          <w:szCs w:val="20"/>
          <w:rFonts w:ascii="Verdana" w:hAnsi="Verdana"/>
        </w:rPr>
      </w:pPr>
      <w:r>
        <w:rPr>
          <w:sz w:val="20"/>
          <w:b/>
          <w:bCs/>
          <w:rFonts w:ascii="Verdana" w:hAnsi="Verdana"/>
        </w:rPr>
        <w:t xml:space="preserve">Dydis ir variantai.</w:t>
      </w:r>
      <w:r>
        <w:rPr>
          <w:sz w:val="20"/>
          <w:rFonts w:ascii="Verdana" w:hAnsi="Verdana"/>
        </w:rPr>
        <w:t xml:space="preserve"> </w:t>
      </w:r>
      <w:r>
        <w:rPr>
          <w:sz w:val="20"/>
          <w:rFonts w:ascii="Verdana" w:hAnsi="Verdana"/>
        </w:rPr>
        <w:t xml:space="preserve">Galimi įvairūs dydžiai ir dizainai, tinkantys įvairiems transporto priemonių modeliams ir stabdžių sistemoms.</w:t>
      </w:r>
    </w:p>
    <w:p w14:paraId="71A69B1B" w14:textId="77777777" w:rsidR="00457D6F" w:rsidRPr="00A43A3F" w:rsidRDefault="00457D6F" w:rsidP="00457D6F">
      <w:pPr>
        <w:pStyle w:val="Default"/>
        <w:rPr>
          <w:rFonts w:ascii="Verdana" w:hAnsi="Verdana"/>
          <w:sz w:val="20"/>
          <w:szCs w:val="20"/>
          <w:highlight w:val="yellow"/>
        </w:rPr>
      </w:pPr>
    </w:p>
    <w:p w14:paraId="46128D20" w14:textId="45074C4C" w:rsidR="00422B2F" w:rsidRPr="00DF580E" w:rsidRDefault="00422B2F" w:rsidP="00422B2F">
      <w:pPr>
        <w:pStyle w:val="Default"/>
        <w:rPr>
          <w:b/>
          <w:bCs/>
          <w:sz w:val="20"/>
          <w:szCs w:val="20"/>
          <w:u w:val="single"/>
          <w:rFonts w:ascii="Verdana" w:hAnsi="Verdana"/>
        </w:rPr>
      </w:pPr>
      <w:r>
        <w:rPr>
          <w:b/>
          <w:sz w:val="20"/>
          <w:u w:val="single"/>
          <w:rFonts w:ascii="Verdana" w:hAnsi="Verdana"/>
        </w:rPr>
        <w:t xml:space="preserve">Motociklų ir automobilių stabdžių diskų produkto aprašas</w:t>
      </w:r>
    </w:p>
    <w:p w14:paraId="1184AF2D" w14:textId="77777777" w:rsidR="00422B2F" w:rsidRPr="00DF580E" w:rsidRDefault="00422B2F" w:rsidP="00457D6F">
      <w:pPr>
        <w:pStyle w:val="Default"/>
        <w:rPr>
          <w:rFonts w:ascii="Verdana" w:hAnsi="Verdana"/>
          <w:sz w:val="20"/>
          <w:szCs w:val="20"/>
        </w:rPr>
      </w:pPr>
    </w:p>
    <w:p w14:paraId="022C749B" w14:textId="2FE154FA" w:rsidR="00422B2F" w:rsidRPr="00EB5263" w:rsidRDefault="00B8041C" w:rsidP="00EB5263">
      <w:pPr>
        <w:pStyle w:val="Default"/>
        <w:numPr>
          <w:ilvl w:val="0"/>
          <w:numId w:val="6"/>
        </w:numPr>
        <w:rPr>
          <w:b/>
          <w:bCs/>
          <w:color w:val="000000" w:themeColor="text1"/>
          <w:sz w:val="20"/>
          <w:szCs w:val="20"/>
          <w:rFonts w:ascii="Verdana" w:hAnsi="Verdana" w:cs="Vrinda"/>
        </w:rPr>
      </w:pPr>
      <w:r>
        <w:rPr>
          <w:color w:val="000000" w:themeColor="text1"/>
          <w:sz w:val="20"/>
          <w:b/>
          <w:bCs/>
          <w:rFonts w:ascii="Verdana" w:hAnsi="Verdana"/>
        </w:rPr>
        <w:t xml:space="preserve">Funkcija.</w:t>
      </w:r>
      <w:r>
        <w:rPr>
          <w:color w:val="000000" w:themeColor="text1"/>
          <w:sz w:val="20"/>
          <w:rFonts w:ascii="Verdana" w:hAnsi="Verdana"/>
        </w:rPr>
        <w:t xml:space="preserve"> </w:t>
      </w:r>
      <w:r>
        <w:rPr>
          <w:color w:val="000000" w:themeColor="text1"/>
          <w:sz w:val="20"/>
          <w:rFonts w:ascii="Verdana" w:hAnsi="Verdana"/>
        </w:rPr>
        <w:t xml:space="preserve">Stabdžių diskai skirti </w:t>
      </w:r>
      <w:r>
        <w:rPr>
          <w:color w:val="000000" w:themeColor="text1"/>
          <w:sz w:val="20"/>
          <w:shd w:val="clear" w:color="auto" w:fill="FFFFFF"/>
          <w:rFonts w:ascii="Verdana" w:hAnsi="Verdana"/>
        </w:rPr>
        <w:t xml:space="preserve">suktis kartu su ratais.</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Stabdžių trinkelės, pritvirtintos prie stabdžių apkabų, prispaudžiamos prie šių rotorių, kad sustabdytų arba sulėtintų ratus.</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Įjungus stabdžių sistemą, stabdžių trinkelės stumiasi prie rotorių ir sukuria trintį, kuri kinetinę energiją paverčia šilumine energija.</w:t>
      </w:r>
    </w:p>
    <w:p w14:paraId="3E552E7A" w14:textId="265EC8C0" w:rsidR="00B8041C" w:rsidRPr="00EB5263" w:rsidRDefault="00B8041C" w:rsidP="00422B2F">
      <w:pPr>
        <w:pStyle w:val="Default"/>
        <w:numPr>
          <w:ilvl w:val="0"/>
          <w:numId w:val="1"/>
        </w:numPr>
        <w:rPr>
          <w:color w:val="000000" w:themeColor="text1"/>
          <w:sz w:val="20"/>
          <w:szCs w:val="20"/>
          <w:rFonts w:ascii="Verdana" w:hAnsi="Verdana"/>
        </w:rPr>
      </w:pPr>
      <w:r>
        <w:rPr>
          <w:color w:val="000000" w:themeColor="text1"/>
          <w:sz w:val="20"/>
          <w:b/>
          <w:bCs/>
          <w:rFonts w:ascii="Verdana" w:hAnsi="Verdana"/>
        </w:rPr>
        <w:t xml:space="preserve">Medžiagų sudėtis.</w:t>
      </w:r>
      <w:r>
        <w:rPr>
          <w:color w:val="000000" w:themeColor="text1"/>
          <w:sz w:val="20"/>
          <w:rFonts w:ascii="Verdana" w:hAnsi="Verdana"/>
        </w:rPr>
        <w:t xml:space="preserve"> </w:t>
      </w:r>
      <w:r>
        <w:rPr>
          <w:color w:val="000000" w:themeColor="text1"/>
          <w:sz w:val="20"/>
          <w:rFonts w:ascii="Verdana" w:hAnsi="Verdana"/>
        </w:rPr>
        <w:t xml:space="preserve">Stabdžių diskai yra sudaryti iš ketaus, nerūdijančiojo arba anglinio plieno, priklausomai nuo naudojimo. Jie kruopščiai atrenkami atsižvelgiant į ilgaamžiškumą, saugumą ir veikimo charakteristikas.</w:t>
      </w:r>
    </w:p>
    <w:p w14:paraId="1403165C" w14:textId="7024F161" w:rsidR="00A43A3F" w:rsidRDefault="00A43A3F" w:rsidP="00A43A3F">
      <w:pPr>
        <w:pStyle w:val="Default"/>
        <w:numPr>
          <w:ilvl w:val="0"/>
          <w:numId w:val="1"/>
        </w:numPr>
        <w:rPr>
          <w:sz w:val="20"/>
          <w:szCs w:val="20"/>
          <w:rFonts w:ascii="Verdana" w:hAnsi="Verdana"/>
        </w:rPr>
      </w:pPr>
      <w:r>
        <w:rPr>
          <w:sz w:val="20"/>
          <w:b/>
          <w:bCs/>
          <w:rFonts w:ascii="Verdana" w:hAnsi="Verdana"/>
        </w:rPr>
        <w:t xml:space="preserve">Tikslinės naudojimo sritys.</w:t>
      </w:r>
      <w:r>
        <w:rPr>
          <w:sz w:val="20"/>
          <w:rFonts w:ascii="Verdana" w:hAnsi="Verdana"/>
        </w:rPr>
        <w:t xml:space="preserve"> </w:t>
      </w:r>
      <w:r>
        <w:rPr>
          <w:sz w:val="20"/>
          <w:rFonts w:ascii="Verdana" w:hAnsi="Verdana"/>
        </w:rPr>
        <w:t xml:space="preserve">Šie stabdžių diskai naudojami lengvuosiuose automobiliuose, komercinėse transporto priemonėse, motocikluose.</w:t>
      </w:r>
    </w:p>
    <w:p w14:paraId="60596E8F" w14:textId="3C497F8E" w:rsidR="00422B2F" w:rsidRPr="00B8041C" w:rsidRDefault="00A43A3F" w:rsidP="00457D6F">
      <w:pPr>
        <w:pStyle w:val="Default"/>
        <w:numPr>
          <w:ilvl w:val="0"/>
          <w:numId w:val="1"/>
        </w:numPr>
        <w:rPr>
          <w:sz w:val="20"/>
          <w:szCs w:val="20"/>
          <w:rFonts w:ascii="Verdana" w:hAnsi="Verdana"/>
        </w:rPr>
      </w:pPr>
      <w:r>
        <w:rPr>
          <w:sz w:val="20"/>
          <w:b/>
          <w:bCs/>
          <w:rFonts w:ascii="Verdana" w:hAnsi="Verdana"/>
        </w:rPr>
        <w:t xml:space="preserve">Dydis ir variantai.</w:t>
      </w:r>
      <w:r>
        <w:rPr>
          <w:sz w:val="20"/>
          <w:rFonts w:ascii="Verdana" w:hAnsi="Verdana"/>
        </w:rPr>
        <w:t xml:space="preserve"> </w:t>
      </w:r>
      <w:r>
        <w:rPr>
          <w:sz w:val="20"/>
          <w:rFonts w:ascii="Verdana" w:hAnsi="Verdana"/>
        </w:rPr>
        <w:t xml:space="preserve">Galimi įvairūs dydžiai ir dizainai, tinkantys įvairiems transporto priemonių modeliams ir stabdžių sistemoms.</w:t>
      </w:r>
    </w:p>
    <w:p w14:paraId="4C1A7A1B" w14:textId="77777777" w:rsidR="00422B2F" w:rsidRPr="00422B2F" w:rsidRDefault="00422B2F" w:rsidP="00457D6F">
      <w:pPr>
        <w:pStyle w:val="Default"/>
        <w:rPr>
          <w:rFonts w:ascii="Verdana" w:hAnsi="Verdana"/>
          <w:b/>
          <w:bCs/>
          <w:sz w:val="20"/>
          <w:szCs w:val="20"/>
        </w:rPr>
      </w:pPr>
    </w:p>
    <w:p w14:paraId="1F99607C" w14:textId="61F3413C" w:rsidR="00457D6F" w:rsidRPr="00422B2F" w:rsidRDefault="00457D6F" w:rsidP="00457D6F">
      <w:pPr>
        <w:pStyle w:val="Default"/>
        <w:rPr>
          <w:sz w:val="20"/>
          <w:szCs w:val="20"/>
          <w:rFonts w:ascii="Verdana" w:hAnsi="Verdana"/>
        </w:rPr>
      </w:pPr>
      <w:r>
        <w:rPr>
          <w:sz w:val="20"/>
          <w:b/>
          <w:bCs/>
          <w:rFonts w:ascii="Verdana" w:hAnsi="Verdana"/>
        </w:rPr>
        <w:t xml:space="preserve">Techninė dokumentacija.</w:t>
      </w:r>
      <w:r>
        <w:rPr>
          <w:sz w:val="20"/>
          <w:rFonts w:ascii="Verdana" w:hAnsi="Verdana"/>
        </w:rPr>
        <w:t xml:space="preserve"> </w:t>
      </w:r>
      <w:r>
        <w:rPr>
          <w:sz w:val="20"/>
          <w:rFonts w:ascii="Verdana" w:hAnsi="Verdana"/>
        </w:rPr>
        <w:t xml:space="preserve">Gamintojas parengė išsamią techninę dokumentaciją, kurią sudaro:</w:t>
      </w:r>
    </w:p>
    <w:p w14:paraId="5A172A52" w14:textId="77777777" w:rsidR="00457D6F" w:rsidRPr="00422B2F" w:rsidRDefault="00457D6F" w:rsidP="00457D6F">
      <w:pPr>
        <w:pStyle w:val="Default"/>
        <w:rPr>
          <w:rFonts w:ascii="Verdana" w:hAnsi="Verdana"/>
          <w:sz w:val="20"/>
          <w:szCs w:val="20"/>
        </w:rPr>
      </w:pPr>
    </w:p>
    <w:p w14:paraId="45BF6B3F"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projektavimo ir gamybos procesai;</w:t>
      </w:r>
    </w:p>
    <w:p w14:paraId="5B82397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saugos ir veikimo bandymų rezultatai;</w:t>
      </w:r>
    </w:p>
    <w:p w14:paraId="2DE33B1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rizikos vertinimas ir rizikos mažinimo priemonės;</w:t>
      </w:r>
    </w:p>
    <w:p w14:paraId="015E7EF5"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atitikties sertifikatai iš akredituotų bandymų laboratorijų.</w:t>
      </w:r>
    </w:p>
    <w:p w14:paraId="213926D1" w14:textId="77777777" w:rsidR="00457D6F" w:rsidRPr="00422B2F" w:rsidRDefault="00457D6F" w:rsidP="00457D6F">
      <w:pPr>
        <w:pStyle w:val="Default"/>
        <w:rPr>
          <w:rFonts w:ascii="Verdana" w:hAnsi="Verdana"/>
          <w:sz w:val="20"/>
          <w:szCs w:val="20"/>
        </w:rPr>
      </w:pPr>
    </w:p>
    <w:p w14:paraId="2892E10B"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Teisės aktai</w:t>
      </w:r>
    </w:p>
    <w:p w14:paraId="0F455ACF" w14:textId="77777777" w:rsidR="00C3368F" w:rsidRDefault="00C3368F" w:rsidP="00457D6F">
      <w:pPr>
        <w:pStyle w:val="Default"/>
        <w:rPr>
          <w:rFonts w:ascii="Verdana" w:hAnsi="Verdana"/>
          <w:sz w:val="20"/>
          <w:szCs w:val="20"/>
        </w:rPr>
      </w:pPr>
    </w:p>
    <w:p w14:paraId="3BD117FF" w14:textId="3E52F31C" w:rsidR="00457D6F" w:rsidRPr="00422B2F" w:rsidRDefault="00457D6F" w:rsidP="00457D6F">
      <w:pPr>
        <w:pStyle w:val="Default"/>
        <w:rPr>
          <w:sz w:val="20"/>
          <w:szCs w:val="20"/>
          <w:rFonts w:ascii="Verdana" w:hAnsi="Verdana"/>
        </w:rPr>
      </w:pPr>
      <w:r>
        <w:rPr>
          <w:sz w:val="20"/>
          <w:rFonts w:ascii="Verdana" w:hAnsi="Verdana"/>
        </w:rPr>
        <w:t xml:space="preserve">Toliau apibūdinti kai kurie pagrindiniai teisės aktų straipsniai ir parodyta, kaip mūsų produktai atitinka šiuos reikalavimus.</w:t>
      </w:r>
    </w:p>
    <w:p w14:paraId="5F9257BB" w14:textId="77777777" w:rsidR="00457D6F" w:rsidRPr="00422B2F" w:rsidRDefault="00457D6F" w:rsidP="00457D6F">
      <w:pPr>
        <w:pStyle w:val="Default"/>
        <w:rPr>
          <w:rFonts w:ascii="Verdana" w:hAnsi="Verdana"/>
          <w:b/>
          <w:bCs/>
          <w:color w:val="auto"/>
          <w:sz w:val="20"/>
          <w:szCs w:val="20"/>
        </w:rPr>
      </w:pPr>
    </w:p>
    <w:p w14:paraId="0C3C8B09"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5 straipsnis</w:t>
      </w:r>
    </w:p>
    <w:p w14:paraId="09AE938B"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Bendrosios saugos reikalavimas.</w:t>
      </w:r>
      <w:r>
        <w:rPr>
          <w:color w:val="auto"/>
          <w:sz w:val="20"/>
          <w:rFonts w:ascii="Verdana" w:hAnsi="Verdana"/>
        </w:rPr>
        <w:t xml:space="preserve"> </w:t>
      </w:r>
      <w:r>
        <w:rPr>
          <w:color w:val="auto"/>
          <w:sz w:val="20"/>
          <w:rFonts w:ascii="Verdana" w:hAnsi="Verdana"/>
        </w:rPr>
        <w:t xml:space="preserve">Kaip ekonominės veiklos vykdytojas rinkai tiekiame tik saugius produktus.</w:t>
      </w:r>
    </w:p>
    <w:p w14:paraId="095EE29D" w14:textId="77777777" w:rsidR="00457D6F" w:rsidRPr="00422B2F" w:rsidRDefault="00457D6F" w:rsidP="00457D6F">
      <w:pPr>
        <w:pStyle w:val="Default"/>
        <w:rPr>
          <w:rFonts w:ascii="Verdana" w:hAnsi="Verdana"/>
          <w:color w:val="auto"/>
          <w:sz w:val="20"/>
          <w:szCs w:val="20"/>
        </w:rPr>
      </w:pPr>
    </w:p>
    <w:p w14:paraId="18284D78"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6 straipsnis</w:t>
      </w:r>
    </w:p>
    <w:p w14:paraId="5D30C36B" w14:textId="77777777" w:rsidR="00457D6F" w:rsidRPr="00422B2F" w:rsidRDefault="00457D6F" w:rsidP="00457D6F">
      <w:pPr>
        <w:pStyle w:val="Default"/>
        <w:rPr>
          <w:sz w:val="20"/>
          <w:szCs w:val="20"/>
          <w:rFonts w:ascii="Verdana" w:hAnsi="Verdana"/>
        </w:rPr>
      </w:pPr>
      <w:r>
        <w:rPr>
          <w:sz w:val="20"/>
          <w:color w:val="auto"/>
          <w:rFonts w:ascii="Verdana" w:hAnsi="Verdana"/>
        </w:rPr>
        <w:t xml:space="preserve">Produktų saugos vertinimo aspektai.</w:t>
      </w:r>
      <w:r>
        <w:rPr>
          <w:sz w:val="20"/>
          <w:color w:val="auto"/>
          <w:rFonts w:ascii="Verdana" w:hAnsi="Verdana"/>
        </w:rPr>
        <w:t xml:space="preserve"> </w:t>
      </w:r>
      <w:r>
        <w:rPr>
          <w:sz w:val="20"/>
          <w:rFonts w:ascii="Verdana" w:hAnsi="Verdana"/>
        </w:rPr>
        <w:t xml:space="preserve">Vertindami, ar mūsų produktai yra saugūs, atsižvelgiame į produktų ypatybes, įskaitant jų dizainą, technines savybes, sudėtį, pakuotę, surinkimo instrukcijas ir, jei taikoma, montavimą, naudojimą ir priežiūrą.</w:t>
      </w:r>
      <w:r>
        <w:rPr>
          <w:sz w:val="20"/>
          <w:rFonts w:ascii="Verdana" w:hAnsi="Verdana"/>
        </w:rPr>
        <w:t xml:space="preserve"> </w:t>
      </w:r>
      <w:r>
        <w:rPr>
          <w:sz w:val="20"/>
          <w:rFonts w:ascii="Verdana" w:hAnsi="Verdana"/>
        </w:rPr>
        <w:t xml:space="preserve">Montavimo instrukcijos pridedamos prie produktų ir prieinamos internete.</w:t>
      </w:r>
    </w:p>
    <w:p w14:paraId="32C5BD02" w14:textId="77777777" w:rsidR="00457D6F" w:rsidRPr="00422B2F" w:rsidRDefault="00457D6F" w:rsidP="00457D6F">
      <w:pPr>
        <w:pStyle w:val="Default"/>
        <w:rPr>
          <w:sz w:val="20"/>
          <w:szCs w:val="20"/>
          <w:rFonts w:ascii="Verdana" w:hAnsi="Verdana"/>
        </w:rPr>
      </w:pPr>
      <w:r>
        <w:rPr>
          <w:sz w:val="20"/>
          <w:rFonts w:ascii="Verdana" w:hAnsi="Verdana"/>
        </w:rPr>
        <w:t xml:space="preserve">Vertiname šiuos papildomus aspektus:</w:t>
      </w:r>
    </w:p>
    <w:p w14:paraId="66F0C719" w14:textId="5BECA899" w:rsidR="00457D6F" w:rsidRPr="00EB5263" w:rsidRDefault="00457D6F" w:rsidP="00457D6F">
      <w:pPr>
        <w:pStyle w:val="Default"/>
        <w:numPr>
          <w:ilvl w:val="0"/>
          <w:numId w:val="5"/>
        </w:numPr>
        <w:rPr>
          <w:color w:val="000000" w:themeColor="text1"/>
          <w:sz w:val="20"/>
          <w:szCs w:val="20"/>
          <w:rFonts w:ascii="Verdana" w:hAnsi="Verdana"/>
        </w:rPr>
      </w:pPr>
      <w:r>
        <w:rPr>
          <w:sz w:val="20"/>
          <w:rFonts w:ascii="Verdana" w:hAnsi="Verdana"/>
        </w:rPr>
        <w:t xml:space="preserve">poveikis kitiems produktams, nes mūsų dalys gali veikti kaip kanalas tarp kitų elementų (pvz., diskų ir apkabų);</w:t>
      </w:r>
    </w:p>
    <w:p w14:paraId="3E12EDF6"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poveikis, kurį kiti produktai gali turėti mūsų produktams, jei tai galima pagrįstai numatyti;</w:t>
      </w:r>
    </w:p>
    <w:p w14:paraId="773FD513"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pateikimas, ženklinimas, įspėjimai ir saugaus naudojimo instrukcijos;</w:t>
      </w:r>
    </w:p>
    <w:p w14:paraId="66DE2A84"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mūsų produktų tinkamumas įvairioms naudotojų grupėms, įskaitant asmenis su negalia, ir jų reikšmė saugumui.</w:t>
      </w:r>
    </w:p>
    <w:p w14:paraId="74120A74" w14:textId="77777777" w:rsidR="00457D6F" w:rsidRPr="00422B2F" w:rsidRDefault="00457D6F" w:rsidP="00457D6F">
      <w:pPr>
        <w:pStyle w:val="Default"/>
        <w:rPr>
          <w:rFonts w:ascii="Verdana" w:hAnsi="Verdana"/>
          <w:color w:val="auto"/>
          <w:sz w:val="20"/>
          <w:szCs w:val="20"/>
        </w:rPr>
      </w:pPr>
    </w:p>
    <w:p w14:paraId="5E6FB5FE" w14:textId="4FEE0545"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7 ir 8 straipsniai</w:t>
      </w:r>
    </w:p>
    <w:p w14:paraId="7EA5AF01" w14:textId="0D01D4CB" w:rsidR="00457D6F" w:rsidRDefault="00457D6F" w:rsidP="00457D6F">
      <w:pPr>
        <w:pStyle w:val="Default"/>
        <w:rPr>
          <w:sz w:val="20"/>
          <w:szCs w:val="20"/>
          <w:rFonts w:ascii="Verdana" w:hAnsi="Verdana"/>
        </w:rPr>
      </w:pPr>
      <w:r>
        <w:rPr>
          <w:sz w:val="20"/>
          <w:rFonts w:ascii="Verdana" w:hAnsi="Verdana"/>
        </w:rPr>
        <w:t xml:space="preserve">Atitikties bendros saugos reikalavimui prielaida.</w:t>
      </w:r>
      <w:r>
        <w:rPr>
          <w:sz w:val="20"/>
          <w:rFonts w:ascii="Verdana" w:hAnsi="Verdana"/>
        </w:rPr>
        <w:t xml:space="preserve"> </w:t>
      </w:r>
      <w:r>
        <w:rPr>
          <w:sz w:val="20"/>
          <w:rFonts w:ascii="Verdana" w:hAnsi="Verdana"/>
        </w:rPr>
        <w:t xml:space="preserve">Mūsų produktai atitinka numatytus Europos ir tarptautinius standartus ir buvo nepriklausomai išbandyti.</w:t>
      </w:r>
      <w:r>
        <w:rPr>
          <w:sz w:val="20"/>
          <w:rFonts w:ascii="Verdana" w:hAnsi="Verdana"/>
        </w:rPr>
        <w:t xml:space="preserve"> </w:t>
      </w:r>
      <w:r>
        <w:rPr>
          <w:sz w:val="20"/>
          <w:rFonts w:ascii="Verdana" w:hAnsi="Verdana"/>
        </w:rPr>
        <w:t xml:space="preserve">Jei reikia, mūsų produktai taip pat patvirtinti pagal ECE 90 taisyklę, Kinijos privalomąjį sertifikatą, SAE J2975 ir SAE J661 bei TUV/KBA.</w:t>
      </w:r>
      <w:r>
        <w:rPr>
          <w:sz w:val="20"/>
          <w:rFonts w:ascii="Verdana" w:hAnsi="Verdana"/>
        </w:rPr>
        <w:t xml:space="preserve">  </w:t>
      </w:r>
      <w:r>
        <w:rPr>
          <w:sz w:val="20"/>
          <w:rFonts w:ascii="Verdana" w:hAnsi="Verdana"/>
        </w:rPr>
        <w:t xml:space="preserve">Pavojingos medžiagos, nurodytos Direktyvoje 2000/53/ES (eksploatuoti netinkamos transporto priemonės), neviršija toje direktyvoje nustatytų ribų.</w:t>
      </w:r>
    </w:p>
    <w:p w14:paraId="2FAD1570" w14:textId="77777777" w:rsidR="00FA5EC1" w:rsidRDefault="00FA5EC1" w:rsidP="00FA5EC1">
      <w:pPr>
        <w:pStyle w:val="Default"/>
        <w:rPr>
          <w:rFonts w:ascii="Verdana" w:hAnsi="Verdana"/>
          <w:sz w:val="20"/>
          <w:szCs w:val="20"/>
        </w:rPr>
      </w:pPr>
    </w:p>
    <w:p w14:paraId="3537C27C" w14:textId="6CE86357" w:rsidR="00457D6F" w:rsidRPr="00422B2F" w:rsidRDefault="00457D6F" w:rsidP="00457D6F">
      <w:pPr>
        <w:pStyle w:val="Default"/>
        <w:rPr>
          <w:rFonts w:ascii="Verdana" w:hAnsi="Verdana"/>
          <w:sz w:val="20"/>
          <w:szCs w:val="20"/>
        </w:rPr>
      </w:pPr>
    </w:p>
    <w:p w14:paraId="372CD21C"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Mūsų produktai atitinka ES standartus.</w:t>
      </w:r>
      <w:r>
        <w:rPr>
          <w:sz w:val="20"/>
          <w:rFonts w:ascii="Verdana" w:hAnsi="Verdana"/>
        </w:rPr>
        <w:t xml:space="preserve"> </w:t>
      </w:r>
    </w:p>
    <w:p w14:paraId="0CC63F59"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Mes laikomės galiojančių tarptautinių standartų, prireikus pasitelkiame išorines mokslo įstaigas specializuotiems bandymams atlikti.</w:t>
      </w:r>
    </w:p>
    <w:p w14:paraId="2C78E265"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Mūsų produktai padidina naudotojų saugumą ir yra išbandyti bei patikimi sudėtingomis sąlygomis.</w:t>
      </w:r>
    </w:p>
    <w:p w14:paraId="349204D9" w14:textId="77777777" w:rsidR="00457D6F" w:rsidRPr="00422B2F" w:rsidRDefault="00457D6F" w:rsidP="00457D6F">
      <w:pPr>
        <w:pStyle w:val="Default"/>
        <w:rPr>
          <w:rFonts w:ascii="Verdana" w:hAnsi="Verdana"/>
          <w:sz w:val="20"/>
          <w:szCs w:val="20"/>
        </w:rPr>
      </w:pPr>
    </w:p>
    <w:p w14:paraId="60D0CF99" w14:textId="77777777" w:rsidR="00457D6F" w:rsidRPr="00422B2F" w:rsidRDefault="00457D6F" w:rsidP="00457D6F">
      <w:pPr>
        <w:pStyle w:val="Default"/>
        <w:rPr>
          <w:sz w:val="20"/>
          <w:szCs w:val="20"/>
          <w:rFonts w:ascii="Verdana" w:hAnsi="Verdana"/>
        </w:rPr>
      </w:pPr>
      <w:r>
        <w:rPr>
          <w:sz w:val="20"/>
          <w:rFonts w:ascii="Verdana" w:hAnsi="Verdana"/>
        </w:rPr>
        <w:t xml:space="preserve">Šis </w:t>
      </w:r>
      <w:r>
        <w:rPr>
          <w:sz w:val="20"/>
          <w:b/>
          <w:bCs/>
          <w:rFonts w:ascii="Verdana" w:hAnsi="Verdana"/>
        </w:rPr>
        <w:t xml:space="preserve">gamybos atitikties pareiškimas</w:t>
      </w:r>
      <w:r>
        <w:rPr>
          <w:sz w:val="20"/>
          <w:rFonts w:ascii="Verdana" w:hAnsi="Verdana"/>
        </w:rPr>
        <w:t xml:space="preserve"> patvirtina, kad mūsų produktai atitinka </w:t>
      </w:r>
      <w:r>
        <w:rPr>
          <w:sz w:val="20"/>
          <w:b/>
          <w:bCs/>
          <w:rFonts w:ascii="Verdana" w:hAnsi="Verdana"/>
        </w:rPr>
        <w:t xml:space="preserve">Reglamentą dėl bendros gaminių saugos</w:t>
      </w:r>
      <w:r>
        <w:rPr>
          <w:sz w:val="20"/>
          <w:rFonts w:ascii="Verdana" w:hAnsi="Verdana"/>
        </w:rPr>
        <w:t xml:space="preserve"> ir yra saugūs naudotojams įprastomis sąlygomis.</w:t>
      </w:r>
    </w:p>
    <w:p w14:paraId="45B90775" w14:textId="77777777" w:rsidR="00457D6F" w:rsidRPr="00422B2F" w:rsidRDefault="00457D6F" w:rsidP="00457D6F">
      <w:pPr>
        <w:pStyle w:val="Default"/>
        <w:rPr>
          <w:sz w:val="20"/>
          <w:szCs w:val="20"/>
          <w:rFonts w:ascii="Verdana" w:hAnsi="Verdana"/>
        </w:rPr>
      </w:pPr>
      <w:r>
        <w:rPr>
          <w:sz w:val="20"/>
          <w:rFonts w:ascii="Verdana" w:hAnsi="Verdana"/>
        </w:rPr>
        <w:t xml:space="preserve">Visi gaminami produktai yra išbandyti ir atsekami pagal reguliavimo standartus, o jų gamybos procesą kontroliuojančioms sistemoms yra atlikti kelių pripažintų įstaigų nepriklausomi išorės vertinimai.</w:t>
      </w:r>
    </w:p>
    <w:p w14:paraId="665FFC67" w14:textId="77777777" w:rsidR="00457D6F" w:rsidRPr="00422B2F" w:rsidRDefault="00457D6F" w:rsidP="00457D6F">
      <w:pPr>
        <w:pStyle w:val="Default"/>
        <w:rPr>
          <w:sz w:val="20"/>
          <w:szCs w:val="20"/>
          <w:rFonts w:ascii="Verdana" w:hAnsi="Verdana"/>
        </w:rPr>
      </w:pPr>
      <w:r>
        <w:rPr>
          <w:sz w:val="20"/>
          <w:rFonts w:ascii="Verdana" w:hAnsi="Verdana"/>
        </w:rPr>
        <w:t xml:space="preserve">Ši deklaracija apima:</w:t>
      </w:r>
    </w:p>
    <w:p w14:paraId="0B62E0A6"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gaminio specifikacijas;</w:t>
      </w:r>
    </w:p>
    <w:p w14:paraId="6B5102FD"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saugos vertinimo proceso aprašą;</w:t>
      </w:r>
    </w:p>
    <w:p w14:paraId="1DEC9714"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standartų, naudojamų produkto saugai įvertinti, nustatymą;</w:t>
      </w:r>
    </w:p>
    <w:p w14:paraId="186C94CA"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gamintojo duomenis ir kontaktinę informaciją.</w:t>
      </w:r>
    </w:p>
    <w:p w14:paraId="1894B78B" w14:textId="77777777" w:rsidR="00457D6F" w:rsidRDefault="00457D6F" w:rsidP="00457D6F">
      <w:pPr>
        <w:rPr>
          <w:rFonts w:ascii="Verdana" w:hAnsi="Verdana" w:cs="Arial"/>
          <w:color w:val="000000"/>
          <w:sz w:val="20"/>
          <w:szCs w:val="20"/>
          <w:lang w:val="en-GB"/>
        </w:rPr>
      </w:pPr>
    </w:p>
    <w:p w14:paraId="1BB922A9" w14:textId="77777777" w:rsidR="008E1B2A" w:rsidRPr="00422B2F" w:rsidRDefault="008E1B2A" w:rsidP="00457D6F">
      <w:pPr>
        <w:rPr>
          <w:rFonts w:ascii="Verdana" w:hAnsi="Verdana" w:cs="Arial"/>
          <w:color w:val="000000"/>
          <w:sz w:val="20"/>
          <w:szCs w:val="20"/>
          <w:lang w:val="en-GB"/>
        </w:rPr>
      </w:pPr>
    </w:p>
    <w:tbl>
      <w:tblPr>
        <w:tblStyle w:val="TableGrid"/>
        <w:tblW w:w="0" w:type="auto"/>
        <w:tblInd w:w="1688" w:type="dxa"/>
        <w:tblLook w:val="04A0" w:firstRow="1" w:lastRow="0" w:firstColumn="1" w:lastColumn="0" w:noHBand="0" w:noVBand="1"/>
      </w:tblPr>
      <w:tblGrid>
        <w:gridCol w:w="1559"/>
        <w:gridCol w:w="2127"/>
        <w:gridCol w:w="3685"/>
      </w:tblGrid>
      <w:tr w:rsidR="00457D6F" w:rsidRPr="00422B2F" w14:paraId="27EC4A20" w14:textId="77777777" w:rsidTr="008C705A">
        <w:tc>
          <w:tcPr>
            <w:tcW w:w="1559" w:type="dxa"/>
          </w:tcPr>
          <w:p w14:paraId="10A7E360" w14:textId="77777777" w:rsidR="00457D6F" w:rsidRPr="00C3368F" w:rsidRDefault="00457D6F" w:rsidP="00DE10C3">
            <w:pPr>
              <w:rPr>
                <w:color w:val="000000"/>
                <w:sz w:val="96"/>
                <w:szCs w:val="96"/>
                <w:rFonts w:ascii="Verdana" w:hAnsi="Verdana" w:cs="Arial"/>
              </w:rPr>
            </w:pPr>
            <w:bookmarkStart w:id="2" w:name="_Hlk187826583"/>
            <w:r>
              <w:rPr>
                <w:color w:val="000000"/>
                <w:sz w:val="96"/>
                <w:rFonts w:ascii="Verdana" w:hAnsi="Verdana"/>
              </w:rPr>
              <w:t xml:space="preserve">EC</w:t>
            </w:r>
          </w:p>
        </w:tc>
        <w:tc>
          <w:tcPr>
            <w:tcW w:w="2127" w:type="dxa"/>
          </w:tcPr>
          <w:p w14:paraId="13CA8D81" w14:textId="77777777" w:rsidR="00457D6F" w:rsidRPr="00C3368F" w:rsidRDefault="00457D6F" w:rsidP="00DE10C3">
            <w:pPr>
              <w:rPr>
                <w:color w:val="000000"/>
                <w:sz w:val="96"/>
                <w:szCs w:val="96"/>
                <w:rFonts w:ascii="Verdana" w:hAnsi="Verdana" w:cs="Arial"/>
              </w:rPr>
            </w:pPr>
            <w:r>
              <w:rPr>
                <w:color w:val="000000"/>
                <w:sz w:val="96"/>
                <w:rFonts w:ascii="Verdana" w:hAnsi="Verdana"/>
              </w:rPr>
              <w:t xml:space="preserve">REP</w:t>
            </w:r>
          </w:p>
        </w:tc>
        <w:tc>
          <w:tcPr>
            <w:tcW w:w="3685" w:type="dxa"/>
          </w:tcPr>
          <w:p w14:paraId="5CA3471B"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„EBC Brakes Germany e.K.“</w:t>
            </w:r>
          </w:p>
          <w:p w14:paraId="7EEBCE5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Hertha-Sponer-Str.9</w:t>
            </w:r>
          </w:p>
          <w:p w14:paraId="3756EEC4"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28816 Stuhr</w:t>
            </w:r>
          </w:p>
          <w:p w14:paraId="1D129A1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Vokietija</w:t>
            </w:r>
          </w:p>
          <w:p w14:paraId="6DAD2EE0" w14:textId="77777777" w:rsidR="00457D6F" w:rsidRPr="00422B2F" w:rsidRDefault="00457D6F" w:rsidP="00DE10C3">
            <w:pPr>
              <w:rPr>
                <w:color w:val="000000"/>
                <w:sz w:val="20"/>
                <w:szCs w:val="20"/>
                <w:rFonts w:ascii="Verdana" w:hAnsi="Verdana" w:cs="Arial"/>
              </w:rPr>
            </w:pPr>
            <w:hyperlink r:id="rId7" w:history="1">
              <w:r>
                <w:rPr>
                  <w:rStyle w:val="Hyperlink"/>
                  <w:sz w:val="20"/>
                  <w:rFonts w:ascii="Verdana" w:hAnsi="Verdana"/>
                </w:rPr>
                <w:t xml:space="preserve">info@ebc-brakes.de</w:t>
              </w:r>
            </w:hyperlink>
          </w:p>
        </w:tc>
      </w:tr>
      <w:bookmarkEnd w:id="2"/>
    </w:tbl>
    <w:p w14:paraId="47AB2DA9" w14:textId="1F3CC4AB" w:rsidR="0034349A" w:rsidRPr="0034349A" w:rsidRDefault="0034349A" w:rsidP="008B3C98"/>
    <w:sectPr w:rsidR="0034349A" w:rsidRPr="0034349A" w:rsidSect="00CD0BFD">
      <w:headerReference w:type="default" r:id="rId8"/>
      <w:footerReference w:type="default" r:id="rId9"/>
      <w:pgSz w:w="11900" w:h="16840"/>
      <w:pgMar w:top="3260" w:right="560" w:bottom="1440" w:left="567" w:header="283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7A45" w14:textId="77777777" w:rsidR="0027329A" w:rsidRDefault="0027329A">
      <w:r>
        <w:separator/>
      </w:r>
    </w:p>
  </w:endnote>
  <w:endnote w:type="continuationSeparator" w:id="0">
    <w:p w14:paraId="5CABC79E" w14:textId="77777777" w:rsidR="0027329A" w:rsidRDefault="0027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4010" w14:textId="77777777" w:rsidR="0034349A" w:rsidRDefault="0034349A">
    <w:pPr>
      <w:pStyle w:val="Footer"/>
    </w:pPr>
    <w:r>
      <w:drawing>
        <wp:anchor distT="0" distB="0" distL="114300" distR="114300" simplePos="0" relativeHeight="251661312" behindDoc="0" locked="0" layoutInCell="1" allowOverlap="1" wp14:anchorId="389845DD" wp14:editId="44BD0634">
          <wp:simplePos x="0" y="0"/>
          <wp:positionH relativeFrom="page">
            <wp:posOffset>18415</wp:posOffset>
          </wp:positionH>
          <wp:positionV relativeFrom="page">
            <wp:posOffset>9994900</wp:posOffset>
          </wp:positionV>
          <wp:extent cx="7518400" cy="694690"/>
          <wp:effectExtent l="0" t="0" r="0" b="0"/>
          <wp:wrapTight wrapText="bothSides">
            <wp:wrapPolygon edited="0">
              <wp:start x="0" y="0"/>
              <wp:lineTo x="0" y="20534"/>
              <wp:lineTo x="21527" y="20534"/>
              <wp:lineTo x="21527"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pdf"/>
                  <pic:cNvPicPr/>
                </pic:nvPicPr>
                <pic:blipFill>
                  <a:blip r:embed="rId1">
                    <a:extLst>
                      <a:ext uri="{28A0092B-C50C-407E-A947-70E740481C1C}">
                        <a14:useLocalDpi xmlns:a14="http://schemas.microsoft.com/office/drawing/2010/main" val="0"/>
                      </a:ext>
                    </a:extLst>
                  </a:blip>
                  <a:stretch>
                    <a:fillRect/>
                  </a:stretch>
                </pic:blipFill>
                <pic:spPr>
                  <a:xfrm>
                    <a:off x="0" y="0"/>
                    <a:ext cx="7518400" cy="6946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8C44" w14:textId="77777777" w:rsidR="0027329A" w:rsidRDefault="0027329A">
      <w:r>
        <w:separator/>
      </w:r>
    </w:p>
  </w:footnote>
  <w:footnote w:type="continuationSeparator" w:id="0">
    <w:p w14:paraId="42C6D7CE" w14:textId="77777777" w:rsidR="0027329A" w:rsidRDefault="0027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B167" w14:textId="77777777" w:rsidR="0034349A" w:rsidRDefault="0034349A">
    <w:pPr>
      <w:pStyle w:val="Header"/>
    </w:pPr>
    <w:bookmarkStart w:id="3" w:name="_MacBuGuideStaticData_15480H"/>
    <w:bookmarkStart w:id="4" w:name="_MacBuGuideStaticData_2940H"/>
    <w:r>
      <w:drawing>
        <wp:anchor distT="0" distB="0" distL="114300" distR="114300" simplePos="0" relativeHeight="251659264" behindDoc="0" locked="0" layoutInCell="1" allowOverlap="1" wp14:anchorId="1ED9C529" wp14:editId="236D7117">
          <wp:simplePos x="0" y="0"/>
          <wp:positionH relativeFrom="page">
            <wp:posOffset>12700</wp:posOffset>
          </wp:positionH>
          <wp:positionV relativeFrom="page">
            <wp:posOffset>7620</wp:posOffset>
          </wp:positionV>
          <wp:extent cx="7556500" cy="1850390"/>
          <wp:effectExtent l="0" t="0" r="12700" b="3810"/>
          <wp:wrapTight wrapText="bothSides">
            <wp:wrapPolygon edited="0">
              <wp:start x="0" y="0"/>
              <wp:lineTo x="0" y="21348"/>
              <wp:lineTo x="21564" y="21348"/>
              <wp:lineTo x="21564"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 header.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850390"/>
                  </a:xfrm>
                  <a:prstGeom prst="rect">
                    <a:avLst/>
                  </a:prstGeom>
                </pic:spPr>
              </pic:pic>
            </a:graphicData>
          </a:graphic>
          <wp14:sizeRelV relativeFrom="margin">
            <wp14:pctHeight>0</wp14:pctHeight>
          </wp14:sizeRelV>
        </wp:anchor>
      </w:drawing>
    </w: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C4D"/>
    <w:multiLevelType w:val="hybridMultilevel"/>
    <w:tmpl w:val="F676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02A28"/>
    <w:multiLevelType w:val="hybridMultilevel"/>
    <w:tmpl w:val="1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22B2B"/>
    <w:multiLevelType w:val="hybridMultilevel"/>
    <w:tmpl w:val="AFE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5C5A"/>
    <w:multiLevelType w:val="hybridMultilevel"/>
    <w:tmpl w:val="671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73719"/>
    <w:multiLevelType w:val="hybridMultilevel"/>
    <w:tmpl w:val="EE00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37DA3"/>
    <w:multiLevelType w:val="multilevel"/>
    <w:tmpl w:val="5ED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360426">
    <w:abstractNumId w:val="5"/>
  </w:num>
  <w:num w:numId="2" w16cid:durableId="662273965">
    <w:abstractNumId w:val="3"/>
  </w:num>
  <w:num w:numId="3" w16cid:durableId="1726220157">
    <w:abstractNumId w:val="4"/>
  </w:num>
  <w:num w:numId="4" w16cid:durableId="1156533830">
    <w:abstractNumId w:val="0"/>
  </w:num>
  <w:num w:numId="5" w16cid:durableId="1488594627">
    <w:abstractNumId w:val="1"/>
  </w:num>
  <w:num w:numId="6" w16cid:durableId="203098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dirty"/>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796927"/>
    <w:rsid w:val="000317CF"/>
    <w:rsid w:val="000515D9"/>
    <w:rsid w:val="00070AE7"/>
    <w:rsid w:val="000B6B6E"/>
    <w:rsid w:val="001336DA"/>
    <w:rsid w:val="001756F6"/>
    <w:rsid w:val="0027329A"/>
    <w:rsid w:val="002912A5"/>
    <w:rsid w:val="002D3BC0"/>
    <w:rsid w:val="003135BD"/>
    <w:rsid w:val="0034349A"/>
    <w:rsid w:val="00364973"/>
    <w:rsid w:val="003A61EE"/>
    <w:rsid w:val="00422B2F"/>
    <w:rsid w:val="00440998"/>
    <w:rsid w:val="00457D6F"/>
    <w:rsid w:val="00493DDA"/>
    <w:rsid w:val="00543258"/>
    <w:rsid w:val="005F1BE0"/>
    <w:rsid w:val="0060174C"/>
    <w:rsid w:val="00631450"/>
    <w:rsid w:val="006D7849"/>
    <w:rsid w:val="00756968"/>
    <w:rsid w:val="0076728F"/>
    <w:rsid w:val="00796927"/>
    <w:rsid w:val="007A6444"/>
    <w:rsid w:val="007D609F"/>
    <w:rsid w:val="00852ABA"/>
    <w:rsid w:val="008A6AAC"/>
    <w:rsid w:val="008B3C98"/>
    <w:rsid w:val="008B7672"/>
    <w:rsid w:val="008C705A"/>
    <w:rsid w:val="008E1B2A"/>
    <w:rsid w:val="009062E7"/>
    <w:rsid w:val="00947215"/>
    <w:rsid w:val="009E28F9"/>
    <w:rsid w:val="00A3223E"/>
    <w:rsid w:val="00A43A3F"/>
    <w:rsid w:val="00A45109"/>
    <w:rsid w:val="00B41328"/>
    <w:rsid w:val="00B62364"/>
    <w:rsid w:val="00B8041C"/>
    <w:rsid w:val="00C22CFC"/>
    <w:rsid w:val="00C3368F"/>
    <w:rsid w:val="00C377CA"/>
    <w:rsid w:val="00C74A23"/>
    <w:rsid w:val="00CD0BFD"/>
    <w:rsid w:val="00D16C56"/>
    <w:rsid w:val="00DF580E"/>
    <w:rsid w:val="00E0218E"/>
    <w:rsid w:val="00E136F5"/>
    <w:rsid w:val="00E15225"/>
    <w:rsid w:val="00E72389"/>
    <w:rsid w:val="00E73A8D"/>
    <w:rsid w:val="00E81C4C"/>
    <w:rsid w:val="00E93B01"/>
    <w:rsid w:val="00EB5263"/>
    <w:rsid w:val="00ED0854"/>
    <w:rsid w:val="00F13684"/>
    <w:rsid w:val="00F63F49"/>
    <w:rsid w:val="00FA5EC1"/>
    <w:rsid w:val="00FD18A0"/>
  </w:rsids>
  <m:mathPr>
    <m:mathFont m:val="Cambria Math"/>
    <m:brkBin m:val="before"/>
    <m:brkBinSub m:val="--"/>
    <m:smallFrac m:val="0"/>
    <m:dispDef m:val="0"/>
    <m:lMargin m:val="0"/>
    <m:rMargin m:val="0"/>
    <m:defJc m:val="centerGroup"/>
    <m:wrapRight/>
    <m:intLim m:val="subSup"/>
    <m:naryLim m:val="subSup"/>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233544"/>
  <w15:docId w15:val="{95D05DBA-CFD4-B444-94B4-9D28016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27"/>
    <w:pPr>
      <w:tabs>
        <w:tab w:val="center" w:pos="4320"/>
        <w:tab w:val="right" w:pos="8640"/>
      </w:tabs>
    </w:pPr>
  </w:style>
  <w:style w:type="character" w:customStyle="1" w:styleId="HeaderChar">
    <w:name w:val="Header Char"/>
    <w:basedOn w:val="DefaultParagraphFont"/>
    <w:link w:val="Header"/>
    <w:uiPriority w:val="99"/>
    <w:rsid w:val="00796927"/>
    <w:rPr>
      <w:sz w:val="24"/>
      <w:szCs w:val="24"/>
    </w:rPr>
  </w:style>
  <w:style w:type="paragraph" w:styleId="Footer">
    <w:name w:val="footer"/>
    <w:basedOn w:val="Normal"/>
    <w:link w:val="FooterChar"/>
    <w:uiPriority w:val="99"/>
    <w:unhideWhenUsed/>
    <w:rsid w:val="00796927"/>
    <w:pPr>
      <w:tabs>
        <w:tab w:val="center" w:pos="4320"/>
        <w:tab w:val="right" w:pos="8640"/>
      </w:tabs>
    </w:pPr>
  </w:style>
  <w:style w:type="character" w:customStyle="1" w:styleId="FooterChar">
    <w:name w:val="Footer Char"/>
    <w:basedOn w:val="DefaultParagraphFont"/>
    <w:link w:val="Footer"/>
    <w:uiPriority w:val="99"/>
    <w:rsid w:val="00796927"/>
    <w:rPr>
      <w:sz w:val="24"/>
      <w:szCs w:val="24"/>
    </w:rPr>
  </w:style>
  <w:style w:type="character" w:customStyle="1" w:styleId="viewbox">
    <w:name w:val="viewbox"/>
    <w:basedOn w:val="DefaultParagraphFont"/>
    <w:rsid w:val="00A45109"/>
  </w:style>
  <w:style w:type="character" w:styleId="Hyperlink">
    <w:name w:val="Hyperlink"/>
    <w:basedOn w:val="DefaultParagraphFont"/>
    <w:rsid w:val="00457D6F"/>
    <w:rPr>
      <w:color w:val="0000FF"/>
      <w:u w:val="single"/>
    </w:rPr>
  </w:style>
  <w:style w:type="paragraph" w:customStyle="1" w:styleId="Default">
    <w:name w:val="Default"/>
    <w:rsid w:val="00457D6F"/>
    <w:pPr>
      <w:autoSpaceDE w:val="0"/>
      <w:autoSpaceDN w:val="0"/>
      <w:adjustRightInd w:val="0"/>
    </w:pPr>
    <w:rPr>
      <w:rFonts w:ascii="Arial" w:hAnsi="Arial" w:cs="Arial"/>
      <w:color w:val="000000"/>
      <w:sz w:val="24"/>
      <w:szCs w:val="24"/>
      <w:lang w:val="lt-LT"/>
    </w:rPr>
  </w:style>
  <w:style w:type="table" w:styleId="TableGrid">
    <w:name w:val="Table Grid"/>
    <w:basedOn w:val="TableNormal"/>
    <w:uiPriority w:val="59"/>
    <w:rsid w:val="0045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bc-brak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Freeman Automotive (UK) Ltd</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Brown</dc:creator>
  <cp:lastModifiedBy>Kate Williamson</cp:lastModifiedBy>
  <cp:revision>2</cp:revision>
  <cp:lastPrinted>2015-11-24T11:44:00Z</cp:lastPrinted>
  <dcterms:created xsi:type="dcterms:W3CDTF">2025-02-07T11:20:00Z</dcterms:created>
  <dcterms:modified xsi:type="dcterms:W3CDTF">2025-02-07T11:20:00Z</dcterms:modified>
</cp:coreProperties>
</file>