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Dokument odniesienia: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Rozporządzenie w sprawie ogólnego bezpieczeństwa produktów (GPSR) UE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2023/988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Wprowadzenie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Rozporządzenie w sprawie ogólnego bezpieczeństwa produktów (GPSR - Rozporządzenie UE 2023/988) dla produktów sprzedawanych na rynku Unii Europejskiej (UE) (w tym produktów podlegających zharmonizowanemu prawodawstwu) zostało wprowadzone w celu zapewnienia, że produkty sprzedawane w UE spełniają wysokie standardy bezpieczeństwa, chroniąc zdrowie i bezpieczeństwo konsumentów.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Klocki i tarcze hamulcowe są kluczowymi elementami układów hamulcowych pojazdów</w:t>
      </w:r>
      <w:r>
        <w:rPr>
          <w:sz w:val="20"/>
          <w:rFonts w:ascii="Verdana" w:hAnsi="Verdana"/>
        </w:rPr>
        <w:t xml:space="preserve">, a zapewnienie ich zgodności z GPSR jest niezbędne zarówno ze względów bezpieczeństwa, jakości, ochrony środowiska, jak i przepisów.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Opis produktu dla klocków hamulcowych do motocykli i samochodów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bCs/>
          <w:rFonts w:ascii="Verdana" w:hAnsi="Verdana"/>
        </w:rPr>
        <w:t xml:space="preserve">Funkcja: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Klocki hamulcowe są zaprojektowane tak, aby wytwarzać tarcie po dociśnięciu do tarczy hamulcowej, to zjawisko umożliwia pojazdom skuteczne zwolnienie ruchu lub zatrzymanie.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Skład materiału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Klocki hamulcowe składają się z mieszanki materiałów, takich jak metal, ceramika i związki organiczne, starannie dobranych pod kątem ich trwałości, bezpieczeństwa i charakterystyki eksploatacyjnej.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Docelowe aplikacje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Klocki hamulcowe są stosowane w samochodach osobowych, pojazdach użytkowych, motocyklach, itp.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Wymiar i warianty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Dostępne są różne rozmiary i konstrukcje dopasowane do różnych modeli pojazdów i układów hamulcowych.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Opis produktu dla tarcz hamulcowych do motocykli i samochodów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bCs/>
          <w:rFonts w:ascii="Verdana" w:hAnsi="Verdana"/>
        </w:rPr>
        <w:t xml:space="preserve">Funkcja: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Tarcze hamulcowe są zaprojektowane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do obracania się wraz z kołami.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Klocki hamulcowe, które są zamontowane w zaciskach hamulcowych, zaciskają się na tych tarczach, aby zatrzymać lub spowolnić obroty koła.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Podczas hamowania klocki hamulcowe są dociskane do tarcz, co wywołuje tarcie, które przekształca energię kinetyczną w energię cieplną.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Skład materiału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W zależności od zastosowania tarcze hamulcowe wykonane są z żeliwa, stali nierdzewnej lub stali miękkiej i są starannie dobierane pod kątem trwałości, bezpieczeństwa i charakterystyki eksploatacyjnej.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Docelowe aplikacje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Tarcze hamulcowe są stosowane w samochodach osobowych, pojazdach użytkowych, motocyklach, itp.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Wymiar i warianty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Dostępne są różne rozmiary i konstrukcje dopasowane do różnych modeli pojazdów i układów hamulcowych.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Dokumentacja techniczna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Producent przechowuje szczegółową dokumentację techniczną, w tym: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Opis procesów projektowania i produkcji.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Wyniki testów bezpieczeństwa i parametrów eksploatacyjnych.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Oceny ryzyka i środki zmniejszania ryzyka.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Certyfikaty zgodności wydane przez akredytowane laboratoria badawcze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Przepisy prawne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Poniżej przedstawiamy niektóre z głównych artykułów Rozporządzenia i pokazujemy, w jaki sposób nasze produkty spełniają te wymagania: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Artykuł 5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Ogólne wymagania bezpieczeństwa: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Jako podmiot gospodarczy będziemy wprowadzać lub udostępniać na rynku wyłącznie bezpieczne produkty.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Artykuł 6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Aspekty oceny bezpieczeństwa produktów: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color w:val="auto"/>
          <w:rFonts w:ascii="Verdana" w:hAnsi="Verdana"/>
        </w:rPr>
        <w:t xml:space="preserve">Podczas oceny bezpieczeństwa naszych produktów bierzemy pod uwagę charakterystykę produktu, w tym jego projekt, </w:t>
      </w:r>
      <w:r>
        <w:rPr>
          <w:sz w:val="20"/>
          <w:rFonts w:ascii="Verdana" w:hAnsi="Verdana"/>
        </w:rPr>
        <w:t xml:space="preserve">parametry techniczne, skład materiałowy, opakowanie, instrukcje montażu oraz, w stosownych przypadkach, zalecenia dotyczące zabudowy, użytkowania i konserwacji.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Instrukcje dotyczące zabudowy są dołączone zarówno do produktów, jak i są dostępne online.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Oceniamy następujące dodatkowe aspekty: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Wpływ na inne produkty, ponieważ nasze części mogą działać jako elementy łączące inne elementy (np. </w:t>
      </w:r>
      <w:r>
        <w:rPr>
          <w:sz w:val="20"/>
          <w:color w:val="000000" w:themeColor="text1"/>
          <w:rFonts w:ascii="Verdana" w:hAnsi="Verdana"/>
        </w:rPr>
        <w:t xml:space="preserve">tarcze i zaciski hamulca)</w:t>
      </w:r>
      <w:r>
        <w:rPr>
          <w:sz w:val="20"/>
          <w:rFonts w:ascii="Verdana" w:hAnsi="Verdana"/>
        </w:rPr>
        <w:t xml:space="preserve">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Wpływ, jaki inne produkty mogą mieć na nasze produkty, o ile można go racjonalnie przewidzieć.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Prezentacja produktu, etykietowanie, ostrzeżenia i instrukcje bezpiecznego użytkowania.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Przydatność naszych produktów dla różnych grup klientów, w tym osób niepełnosprawnych, oraz wpływ na ich bezpieczeństwo.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Artykuł 7 i 8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Domniemanie zgodności z ogólnymi wymogami bezpieczeństwa: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Nasze produkty są zgodne z odpowiednimi normami europejskimi i międzynarodowymi i zostały poddane niezależnym testom.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W stosownych przypadkach nasze produkty są również zatwierdzane zgodnie z europejskim Rozporządzeniem nr 90 ECE, chińskim Obowiązkowym Systemem Certyfikacji, przepisami SAE J2975 i SAE J661 oraz TUV/KBA.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Substancje niebezpieczne wymienione w Dyrektywie 2000/53/UE (dotyczy pojazdów wycofanych z eksploatacji) nie przekraczają wartości granicznych określonych w tej Dyrektywie.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Nasze produkty są zgodne z normami UE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Stosujemy się do obowiązujących norm międzynarodowych, angażując w razie potrzeby zewnętrzne jednostki naukowe do przeprowadzania specjalistycznych testów.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Nasze produkty zwiększają bezpieczeństwo klientów i sprawdzają się w wymagających środowiskach.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Niniejsze </w:t>
      </w:r>
      <w:r>
        <w:rPr>
          <w:sz w:val="20"/>
          <w:b/>
          <w:bCs/>
          <w:rFonts w:ascii="Verdana" w:hAnsi="Verdana"/>
        </w:rPr>
        <w:t xml:space="preserve">Potwierdzenie Zgodności Producenta </w:t>
      </w:r>
      <w:r>
        <w:rPr>
          <w:sz w:val="20"/>
          <w:rFonts w:ascii="Verdana" w:hAnsi="Verdana"/>
        </w:rPr>
        <w:t xml:space="preserve">jest oświadczeniem potwierdzającym, że nasze produkty są zgodne z </w:t>
      </w:r>
      <w:r>
        <w:rPr>
          <w:sz w:val="20"/>
          <w:b/>
          <w:rFonts w:ascii="Verdana" w:hAnsi="Verdana"/>
        </w:rPr>
        <w:t xml:space="preserve">Rozporządzeniem w sprawie ogólnego bezpieczeństwa produktów </w:t>
      </w:r>
      <w:r>
        <w:rPr>
          <w:sz w:val="20"/>
          <w:rFonts w:ascii="Verdana" w:hAnsi="Verdana"/>
        </w:rPr>
        <w:t xml:space="preserve">i mogą być bezpiecznie użytkowane przez klientów w normalnych warunkach.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Wszystkie wytwarzane produkty są testowane i identyfikowalne zgodnie z normami regulacyjnymi, a systemy monitorujące  proces produkcyjny podlegają zewnętrznym ocenom kilku uznanych organów certyfikacji.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Oświadczenie to obejmuje: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Specyfikacje produktu.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Opis procesu oceny bezpieczeństwa.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Wykaz identyfikacyjny norm stosowanych do oceny bezpieczeństwa produktu.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Szczegółowe dane producenta i informacje kontaktowe.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Niemcy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