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ED5ED" w14:textId="77777777" w:rsidR="00457D6F" w:rsidRPr="00422B2F" w:rsidRDefault="00457D6F" w:rsidP="00457D6F">
      <w:pPr>
        <w:rPr>
          <w:color w:val="000000"/>
          <w:sz w:val="20"/>
          <w:szCs w:val="20"/>
          <w:rFonts w:ascii="Verdana" w:hAnsi="Verdana" w:cs="Arial"/>
        </w:rPr>
      </w:pPr>
      <w:r>
        <w:rPr>
          <w:sz w:val="20"/>
          <w:b/>
          <w:color w:val="000000"/>
          <w:rFonts w:ascii="Verdana" w:hAnsi="Verdana"/>
        </w:rPr>
        <w:t xml:space="preserve">Referință:</w:t>
      </w:r>
      <w:r>
        <w:rPr>
          <w:sz w:val="20"/>
          <w:b/>
          <w:color w:val="000000"/>
          <w:rFonts w:ascii="Verdana" w:hAnsi="Verdana"/>
        </w:rPr>
        <w:t xml:space="preserve"> </w:t>
      </w:r>
      <w:r>
        <w:rPr>
          <w:sz w:val="20"/>
          <w:b/>
          <w:color w:val="000000"/>
          <w:rFonts w:ascii="Verdana" w:hAnsi="Verdana"/>
        </w:rPr>
        <w:tab/>
      </w:r>
      <w:r>
        <w:rPr>
          <w:sz w:val="20"/>
          <w:b/>
          <w:color w:val="000000"/>
          <w:rFonts w:ascii="Verdana" w:hAnsi="Verdana"/>
        </w:rPr>
        <w:t xml:space="preserve">Regulamentul UE privind Siguranța Generală a Produselor (RSGP)</w:t>
      </w:r>
      <w:r>
        <w:rPr>
          <w:sz w:val="20"/>
          <w:color w:val="111111"/>
          <w:shd w:val="clear" w:color="auto" w:fill="FFFFFF"/>
          <w:rFonts w:ascii="Verdana" w:hAnsi="Verdana"/>
        </w:rPr>
        <w:t xml:space="preserve"> </w:t>
      </w:r>
      <w:r>
        <w:rPr>
          <w:sz w:val="20"/>
          <w:b/>
          <w:color w:val="000000"/>
          <w:rFonts w:ascii="Verdana" w:hAnsi="Verdana"/>
        </w:rPr>
        <w:t xml:space="preserve">2023/988</w:t>
      </w:r>
    </w:p>
    <w:p w14:paraId="1C31E60D" w14:textId="77777777" w:rsidR="00457D6F" w:rsidRPr="00422B2F" w:rsidRDefault="00457D6F" w:rsidP="00457D6F">
      <w:pPr>
        <w:pStyle w:val="Default"/>
        <w:rPr>
          <w:rFonts w:ascii="Verdana" w:hAnsi="Verdana"/>
          <w:sz w:val="20"/>
          <w:szCs w:val="20"/>
        </w:rPr>
      </w:pPr>
    </w:p>
    <w:p w14:paraId="41534B5A" w14:textId="77777777" w:rsidR="00457D6F" w:rsidRPr="00422B2F" w:rsidRDefault="00457D6F" w:rsidP="00457D6F">
      <w:pPr>
        <w:pStyle w:val="Default"/>
        <w:rPr>
          <w:b/>
          <w:bCs/>
          <w:sz w:val="20"/>
          <w:szCs w:val="20"/>
          <w:u w:val="single"/>
          <w:rFonts w:ascii="Verdana" w:hAnsi="Verdana"/>
        </w:rPr>
      </w:pPr>
      <w:r>
        <w:rPr>
          <w:b/>
          <w:sz w:val="20"/>
          <w:u w:val="single"/>
          <w:rFonts w:ascii="Verdana" w:hAnsi="Verdana"/>
        </w:rPr>
        <w:t xml:space="preserve">Introducere</w:t>
      </w:r>
    </w:p>
    <w:p w14:paraId="337E923D" w14:textId="77777777" w:rsidR="00457D6F" w:rsidRPr="00422B2F" w:rsidRDefault="00457D6F" w:rsidP="00457D6F">
      <w:pPr>
        <w:pStyle w:val="Default"/>
        <w:rPr>
          <w:rFonts w:ascii="Verdana" w:hAnsi="Verdana"/>
          <w:b/>
          <w:bCs/>
          <w:sz w:val="20"/>
          <w:szCs w:val="20"/>
          <w:u w:val="single"/>
        </w:rPr>
      </w:pPr>
    </w:p>
    <w:p w14:paraId="19BD0022" w14:textId="77777777" w:rsidR="00457D6F" w:rsidRPr="00422B2F" w:rsidRDefault="00457D6F" w:rsidP="00457D6F">
      <w:pPr>
        <w:pStyle w:val="Default"/>
        <w:rPr>
          <w:color w:val="auto"/>
          <w:sz w:val="20"/>
          <w:szCs w:val="20"/>
          <w:rFonts w:ascii="Verdana" w:hAnsi="Verdana"/>
        </w:rPr>
      </w:pPr>
      <w:r>
        <w:rPr>
          <w:color w:val="auto"/>
          <w:sz w:val="20"/>
          <w:rFonts w:ascii="Verdana" w:hAnsi="Verdana"/>
        </w:rPr>
        <w:t xml:space="preserve">Regulamentul privind Siguranța Generală a Produselor (RSGP - Regulamentul UE 2023/988) pentru produsele vândute pe piața Uniunii Europene (UE) (inclusiv produsele care fac obiectul legislației armonizate) a fost introdus pentru a garanta că produsele vândute în UE îndeplinesc standarde ridicate de siguranță, protejând sănătatea și siguranța consumatorilor.</w:t>
      </w:r>
    </w:p>
    <w:p w14:paraId="02BAE741" w14:textId="75DF1A7E" w:rsidR="00457D6F" w:rsidRPr="00422B2F" w:rsidRDefault="00457D6F" w:rsidP="00457D6F">
      <w:pPr>
        <w:pStyle w:val="Default"/>
        <w:rPr>
          <w:sz w:val="20"/>
          <w:szCs w:val="20"/>
          <w:rFonts w:ascii="Verdana" w:hAnsi="Verdana"/>
        </w:rPr>
      </w:pPr>
      <w:r>
        <w:rPr>
          <w:sz w:val="20"/>
          <w:color w:val="auto"/>
          <w:rFonts w:ascii="Verdana" w:hAnsi="Verdana"/>
        </w:rPr>
        <w:t xml:space="preserve">Plăcuțele și discurile de frână sunt componente critice ale sistemelor de frânare ale vehiculelor</w:t>
      </w:r>
      <w:r>
        <w:rPr>
          <w:sz w:val="20"/>
          <w:rFonts w:ascii="Verdana" w:hAnsi="Verdana"/>
        </w:rPr>
        <w:t xml:space="preserve">, iar asigurarea conformității lor cu RSGP este esențială atât din motive de siguranță, calitate, mediu, cât și din motive de reglementare.</w:t>
      </w:r>
    </w:p>
    <w:p w14:paraId="5746665A" w14:textId="77777777" w:rsidR="00457D6F" w:rsidRPr="00422B2F" w:rsidRDefault="00457D6F" w:rsidP="00457D6F">
      <w:pPr>
        <w:pStyle w:val="Default"/>
        <w:rPr>
          <w:sz w:val="20"/>
          <w:szCs w:val="20"/>
          <w:rFonts w:ascii="Verdana" w:hAnsi="Verdana"/>
        </w:rPr>
      </w:pPr>
      <w:r>
        <w:rPr>
          <w:sz w:val="20"/>
          <w:rFonts w:ascii="Verdana" w:hAnsi="Verdana"/>
        </w:rPr>
        <w:t xml:space="preserve"> </w:t>
      </w:r>
    </w:p>
    <w:p w14:paraId="42D17E50" w14:textId="415D2127" w:rsidR="00457D6F" w:rsidRPr="00DF580E" w:rsidRDefault="00457D6F" w:rsidP="00457D6F">
      <w:pPr>
        <w:pStyle w:val="Default"/>
        <w:rPr>
          <w:b/>
          <w:bCs/>
          <w:sz w:val="20"/>
          <w:szCs w:val="20"/>
          <w:u w:val="single"/>
          <w:rFonts w:ascii="Verdana" w:hAnsi="Verdana"/>
        </w:rPr>
      </w:pPr>
      <w:bookmarkStart w:id="0" w:name="_Hlk188447919"/>
      <w:r>
        <w:rPr>
          <w:b/>
          <w:sz w:val="20"/>
          <w:u w:val="single"/>
          <w:rFonts w:ascii="Verdana" w:hAnsi="Verdana"/>
        </w:rPr>
        <w:t xml:space="preserve">Descrierea produsului plăcuțe de frână pentru motociclete și industria auto</w:t>
      </w:r>
      <w:r>
        <w:rPr>
          <w:b/>
          <w:sz w:val="20"/>
          <w:u w:val="single"/>
          <w:rFonts w:ascii="Verdana" w:hAnsi="Verdana"/>
        </w:rPr>
        <w:t xml:space="preserve"> </w:t>
      </w:r>
    </w:p>
    <w:bookmarkEnd w:id="0"/>
    <w:p w14:paraId="79E797F4" w14:textId="77777777" w:rsidR="00457D6F" w:rsidRPr="00DF580E" w:rsidRDefault="00457D6F" w:rsidP="00457D6F">
      <w:pPr>
        <w:pStyle w:val="Default"/>
        <w:rPr>
          <w:rFonts w:ascii="Verdana" w:hAnsi="Verdana"/>
          <w:b/>
          <w:bCs/>
          <w:sz w:val="20"/>
          <w:szCs w:val="20"/>
          <w:u w:val="single"/>
        </w:rPr>
      </w:pPr>
    </w:p>
    <w:p w14:paraId="44BD6420" w14:textId="77777777" w:rsidR="00457D6F" w:rsidRPr="00DF580E" w:rsidRDefault="00457D6F" w:rsidP="00457D6F">
      <w:pPr>
        <w:pStyle w:val="Default"/>
        <w:numPr>
          <w:ilvl w:val="0"/>
          <w:numId w:val="1"/>
        </w:numPr>
        <w:rPr>
          <w:sz w:val="20"/>
          <w:szCs w:val="20"/>
          <w:rFonts w:ascii="Verdana" w:hAnsi="Verdana"/>
        </w:rPr>
      </w:pPr>
      <w:r>
        <w:rPr>
          <w:sz w:val="20"/>
          <w:b/>
          <w:rFonts w:ascii="Verdana" w:hAnsi="Verdana"/>
        </w:rPr>
        <w:t xml:space="preserve">Funcție</w:t>
      </w:r>
      <w:r>
        <w:rPr>
          <w:sz w:val="20"/>
          <w:rFonts w:ascii="Verdana" w:hAnsi="Verdana"/>
        </w:rPr>
        <w:t xml:space="preserve">:</w:t>
      </w:r>
      <w:r>
        <w:rPr>
          <w:sz w:val="20"/>
          <w:rFonts w:ascii="Verdana" w:hAnsi="Verdana"/>
        </w:rPr>
        <w:t xml:space="preserve"> </w:t>
      </w:r>
      <w:r>
        <w:rPr>
          <w:sz w:val="20"/>
          <w:rFonts w:ascii="Verdana" w:hAnsi="Verdana"/>
        </w:rPr>
        <w:t xml:space="preserve">Plăcuțele de frână sunt concepute pentru a crea frecare atunci când sunt apăsate pe discul de frână, permițând vehiculelor să încetinească sau să oprească eficient.</w:t>
      </w:r>
    </w:p>
    <w:p w14:paraId="30B6FC76" w14:textId="77777777" w:rsidR="00457D6F" w:rsidRPr="00DF580E" w:rsidRDefault="00457D6F" w:rsidP="00457D6F">
      <w:pPr>
        <w:pStyle w:val="Default"/>
        <w:numPr>
          <w:ilvl w:val="0"/>
          <w:numId w:val="1"/>
        </w:numPr>
        <w:rPr>
          <w:sz w:val="20"/>
          <w:szCs w:val="20"/>
          <w:rFonts w:ascii="Verdana" w:hAnsi="Verdana"/>
        </w:rPr>
      </w:pPr>
      <w:bookmarkStart w:id="1" w:name="_Hlk188448356"/>
      <w:r>
        <w:rPr>
          <w:sz w:val="20"/>
          <w:b/>
          <w:rFonts w:ascii="Verdana" w:hAnsi="Verdana"/>
        </w:rPr>
        <w:t xml:space="preserve">Compoziția materialului</w:t>
      </w:r>
      <w:r>
        <w:rPr>
          <w:sz w:val="20"/>
          <w:rFonts w:ascii="Verdana" w:hAnsi="Verdana"/>
        </w:rPr>
        <w:t xml:space="preserve">:</w:t>
      </w:r>
      <w:r>
        <w:rPr>
          <w:sz w:val="20"/>
          <w:rFonts w:ascii="Verdana" w:hAnsi="Verdana"/>
        </w:rPr>
        <w:t xml:space="preserve"> </w:t>
      </w:r>
      <w:r>
        <w:rPr>
          <w:sz w:val="20"/>
          <w:rFonts w:ascii="Verdana" w:hAnsi="Verdana"/>
        </w:rPr>
        <w:t xml:space="preserve">Plăcuțele de frână sunt fabricate dintr-un amestec de materiale precum metal, ceramică și compuși organici, atent selecționate în ceea ce privește durabilitatea, siguranța și caracteristicile lor de performanță.</w:t>
      </w:r>
    </w:p>
    <w:bookmarkEnd w:id="1"/>
    <w:p w14:paraId="770016BA" w14:textId="77777777" w:rsidR="00457D6F" w:rsidRPr="00DF580E" w:rsidRDefault="00457D6F" w:rsidP="00457D6F">
      <w:pPr>
        <w:pStyle w:val="Default"/>
        <w:numPr>
          <w:ilvl w:val="0"/>
          <w:numId w:val="1"/>
        </w:numPr>
        <w:rPr>
          <w:sz w:val="20"/>
          <w:szCs w:val="20"/>
          <w:rFonts w:ascii="Verdana" w:hAnsi="Verdana"/>
        </w:rPr>
      </w:pPr>
      <w:r>
        <w:rPr>
          <w:sz w:val="20"/>
          <w:b/>
          <w:rFonts w:ascii="Verdana" w:hAnsi="Verdana"/>
        </w:rPr>
        <w:t xml:space="preserve">Utilizări vizate</w:t>
      </w:r>
      <w:r>
        <w:rPr>
          <w:sz w:val="20"/>
          <w:rFonts w:ascii="Verdana" w:hAnsi="Verdana"/>
        </w:rPr>
        <w:t xml:space="preserve">:</w:t>
      </w:r>
      <w:r>
        <w:rPr>
          <w:sz w:val="20"/>
          <w:rFonts w:ascii="Verdana" w:hAnsi="Verdana"/>
        </w:rPr>
        <w:t xml:space="preserve"> </w:t>
      </w:r>
      <w:r>
        <w:rPr>
          <w:sz w:val="20"/>
          <w:rFonts w:ascii="Verdana" w:hAnsi="Verdana"/>
        </w:rPr>
        <w:t xml:space="preserve">Aceste plăcuțe de frână sunt utilizate la autoturisme, vehicule comerciale, motociclete etc.</w:t>
      </w:r>
    </w:p>
    <w:p w14:paraId="5974D1EF" w14:textId="77777777" w:rsidR="00457D6F" w:rsidRPr="00DF580E" w:rsidRDefault="00457D6F" w:rsidP="00457D6F">
      <w:pPr>
        <w:pStyle w:val="Default"/>
        <w:numPr>
          <w:ilvl w:val="0"/>
          <w:numId w:val="1"/>
        </w:numPr>
        <w:rPr>
          <w:sz w:val="20"/>
          <w:szCs w:val="20"/>
          <w:rFonts w:ascii="Verdana" w:hAnsi="Verdana"/>
        </w:rPr>
      </w:pPr>
      <w:r>
        <w:rPr>
          <w:sz w:val="20"/>
          <w:b/>
          <w:rFonts w:ascii="Verdana" w:hAnsi="Verdana"/>
        </w:rPr>
        <w:t xml:space="preserve">Mărimi și variante</w:t>
      </w:r>
      <w:r>
        <w:rPr>
          <w:sz w:val="20"/>
          <w:rFonts w:ascii="Verdana" w:hAnsi="Verdana"/>
        </w:rPr>
        <w:t xml:space="preserve">:</w:t>
      </w:r>
      <w:r>
        <w:rPr>
          <w:sz w:val="20"/>
          <w:rFonts w:ascii="Verdana" w:hAnsi="Verdana"/>
        </w:rPr>
        <w:t xml:space="preserve"> </w:t>
      </w:r>
      <w:r>
        <w:rPr>
          <w:sz w:val="20"/>
          <w:rFonts w:ascii="Verdana" w:hAnsi="Verdana"/>
        </w:rPr>
        <w:t xml:space="preserve">Sunt disponibile mai multe mărimi și modele potrivite pentru o varietate de modele de vehicule și sisteme de frânare.</w:t>
      </w:r>
    </w:p>
    <w:p w14:paraId="71A69B1B" w14:textId="77777777" w:rsidR="00457D6F" w:rsidRPr="00A43A3F" w:rsidRDefault="00457D6F" w:rsidP="00457D6F">
      <w:pPr>
        <w:pStyle w:val="Default"/>
        <w:rPr>
          <w:rFonts w:ascii="Verdana" w:hAnsi="Verdana"/>
          <w:sz w:val="20"/>
          <w:szCs w:val="20"/>
          <w:highlight w:val="yellow"/>
        </w:rPr>
      </w:pPr>
    </w:p>
    <w:p w14:paraId="46128D20" w14:textId="45074C4C" w:rsidR="00422B2F" w:rsidRPr="00DF580E" w:rsidRDefault="00422B2F" w:rsidP="00422B2F">
      <w:pPr>
        <w:pStyle w:val="Default"/>
        <w:rPr>
          <w:b/>
          <w:bCs/>
          <w:sz w:val="20"/>
          <w:szCs w:val="20"/>
          <w:u w:val="single"/>
          <w:rFonts w:ascii="Verdana" w:hAnsi="Verdana"/>
        </w:rPr>
      </w:pPr>
      <w:r>
        <w:rPr>
          <w:b/>
          <w:sz w:val="20"/>
          <w:u w:val="single"/>
          <w:rFonts w:ascii="Verdana" w:hAnsi="Verdana"/>
        </w:rPr>
        <w:t xml:space="preserve">Descrierea produsului discuri de frână pentru motociclete și industria auto</w:t>
      </w:r>
    </w:p>
    <w:p w14:paraId="1184AF2D" w14:textId="77777777" w:rsidR="00422B2F" w:rsidRPr="00DF580E" w:rsidRDefault="00422B2F" w:rsidP="00457D6F">
      <w:pPr>
        <w:pStyle w:val="Default"/>
        <w:rPr>
          <w:rFonts w:ascii="Verdana" w:hAnsi="Verdana"/>
          <w:sz w:val="20"/>
          <w:szCs w:val="20"/>
        </w:rPr>
      </w:pPr>
    </w:p>
    <w:p w14:paraId="022C749B" w14:textId="2FE154FA" w:rsidR="00422B2F" w:rsidRPr="00EB5263" w:rsidRDefault="00B8041C" w:rsidP="00EB5263">
      <w:pPr>
        <w:pStyle w:val="Default"/>
        <w:numPr>
          <w:ilvl w:val="0"/>
          <w:numId w:val="6"/>
        </w:numPr>
        <w:rPr>
          <w:b/>
          <w:bCs/>
          <w:color w:val="000000" w:themeColor="text1"/>
          <w:sz w:val="20"/>
          <w:szCs w:val="20"/>
          <w:rFonts w:ascii="Verdana" w:hAnsi="Verdana" w:cs="Vrinda"/>
        </w:rPr>
      </w:pPr>
      <w:r>
        <w:rPr>
          <w:color w:val="000000" w:themeColor="text1"/>
          <w:sz w:val="20"/>
          <w:b/>
          <w:rFonts w:ascii="Verdana" w:hAnsi="Verdana"/>
        </w:rPr>
        <w:t xml:space="preserve">Funcție</w:t>
      </w:r>
      <w:r>
        <w:rPr>
          <w:color w:val="000000" w:themeColor="text1"/>
          <w:sz w:val="20"/>
          <w:rFonts w:ascii="Verdana" w:hAnsi="Verdana"/>
        </w:rPr>
        <w:t xml:space="preserve">:</w:t>
      </w:r>
      <w:r>
        <w:rPr>
          <w:color w:val="000000" w:themeColor="text1"/>
          <w:sz w:val="20"/>
          <w:rFonts w:ascii="Verdana" w:hAnsi="Verdana"/>
        </w:rPr>
        <w:t xml:space="preserve"> </w:t>
      </w:r>
      <w:r>
        <w:rPr>
          <w:color w:val="000000" w:themeColor="text1"/>
          <w:sz w:val="20"/>
          <w:rFonts w:ascii="Verdana" w:hAnsi="Verdana"/>
        </w:rPr>
        <w:t xml:space="preserve">Discurile de frână sunt concepute </w:t>
      </w:r>
      <w:r>
        <w:rPr>
          <w:color w:val="000000" w:themeColor="text1"/>
          <w:sz w:val="20"/>
          <w:shd w:val="clear" w:color="auto" w:fill="FFFFFF"/>
          <w:rFonts w:ascii="Verdana" w:hAnsi="Verdana"/>
        </w:rPr>
        <w:t xml:space="preserve">să se rotească odată cu roțile.</w:t>
      </w:r>
      <w:r>
        <w:rPr>
          <w:color w:val="000000" w:themeColor="text1"/>
          <w:sz w:val="20"/>
          <w:shd w:val="clear" w:color="auto" w:fill="FFFFFF"/>
          <w:rFonts w:ascii="Verdana" w:hAnsi="Verdana"/>
        </w:rPr>
        <w:t xml:space="preserve"> </w:t>
      </w:r>
      <w:r>
        <w:rPr>
          <w:color w:val="000000" w:themeColor="text1"/>
          <w:sz w:val="20"/>
          <w:shd w:val="clear" w:color="auto" w:fill="FFFFFF"/>
          <w:rFonts w:ascii="Verdana" w:hAnsi="Verdana"/>
        </w:rPr>
        <w:t xml:space="preserve">Plăcuțele de frână, care sunt montate pe etrierele de frână, se aplică asupra acestor discuri pentru a opri sau a decelera roțile.</w:t>
      </w:r>
      <w:r>
        <w:rPr>
          <w:color w:val="000000" w:themeColor="text1"/>
          <w:sz w:val="20"/>
          <w:shd w:val="clear" w:color="auto" w:fill="FFFFFF"/>
          <w:rFonts w:ascii="Verdana" w:hAnsi="Verdana"/>
        </w:rPr>
        <w:t xml:space="preserve"> </w:t>
      </w:r>
      <w:r>
        <w:rPr>
          <w:color w:val="000000" w:themeColor="text1"/>
          <w:sz w:val="20"/>
          <w:shd w:val="clear" w:color="auto" w:fill="FFFFFF"/>
          <w:rFonts w:ascii="Verdana" w:hAnsi="Verdana"/>
        </w:rPr>
        <w:t xml:space="preserve">Atunci când este acționat sistemul de frânare, plăcuțele de frână apasă pe rotoare, generând frecare, ceea ce transformă energia cinetică în energie termică.</w:t>
      </w:r>
    </w:p>
    <w:p w14:paraId="3E552E7A" w14:textId="265EC8C0" w:rsidR="00B8041C" w:rsidRPr="00EB5263" w:rsidRDefault="00B8041C" w:rsidP="00422B2F">
      <w:pPr>
        <w:pStyle w:val="Default"/>
        <w:numPr>
          <w:ilvl w:val="0"/>
          <w:numId w:val="1"/>
        </w:numPr>
        <w:rPr>
          <w:color w:val="000000" w:themeColor="text1"/>
          <w:sz w:val="20"/>
          <w:szCs w:val="20"/>
          <w:rFonts w:ascii="Verdana" w:hAnsi="Verdana"/>
        </w:rPr>
      </w:pPr>
      <w:r>
        <w:rPr>
          <w:color w:val="000000" w:themeColor="text1"/>
          <w:sz w:val="20"/>
          <w:b/>
          <w:rFonts w:ascii="Verdana" w:hAnsi="Verdana"/>
        </w:rPr>
        <w:t xml:space="preserve">Compoziția materialului</w:t>
      </w:r>
      <w:r>
        <w:rPr>
          <w:color w:val="000000" w:themeColor="text1"/>
          <w:sz w:val="20"/>
          <w:rFonts w:ascii="Verdana" w:hAnsi="Verdana"/>
        </w:rPr>
        <w:t xml:space="preserve">:</w:t>
      </w:r>
      <w:r>
        <w:rPr>
          <w:color w:val="000000" w:themeColor="text1"/>
          <w:sz w:val="20"/>
          <w:rFonts w:ascii="Verdana" w:hAnsi="Verdana"/>
        </w:rPr>
        <w:t xml:space="preserve"> </w:t>
      </w:r>
      <w:r>
        <w:rPr>
          <w:color w:val="000000" w:themeColor="text1"/>
          <w:sz w:val="20"/>
          <w:rFonts w:ascii="Verdana" w:hAnsi="Verdana"/>
        </w:rPr>
        <w:t xml:space="preserve">Discurile de frână sunt fabricate fie din fontă, fie din oțel inoxidabil sau moale, în funcție de utilizare, și sunt atent selectate în ceea ce privește durabilitatea, siguranța și caracteristicile lor de performanță.</w:t>
      </w:r>
    </w:p>
    <w:p w14:paraId="1403165C" w14:textId="7024F161" w:rsidR="00A43A3F" w:rsidRDefault="00A43A3F" w:rsidP="00A43A3F">
      <w:pPr>
        <w:pStyle w:val="Default"/>
        <w:numPr>
          <w:ilvl w:val="0"/>
          <w:numId w:val="1"/>
        </w:numPr>
        <w:rPr>
          <w:sz w:val="20"/>
          <w:szCs w:val="20"/>
          <w:rFonts w:ascii="Verdana" w:hAnsi="Verdana"/>
        </w:rPr>
      </w:pPr>
      <w:r>
        <w:rPr>
          <w:sz w:val="20"/>
          <w:b/>
          <w:rFonts w:ascii="Verdana" w:hAnsi="Verdana"/>
        </w:rPr>
        <w:t xml:space="preserve">Utilizări vizate</w:t>
      </w:r>
      <w:r>
        <w:rPr>
          <w:sz w:val="20"/>
          <w:rFonts w:ascii="Verdana" w:hAnsi="Verdana"/>
        </w:rPr>
        <w:t xml:space="preserve">:</w:t>
      </w:r>
      <w:r>
        <w:rPr>
          <w:sz w:val="20"/>
          <w:rFonts w:ascii="Verdana" w:hAnsi="Verdana"/>
        </w:rPr>
        <w:t xml:space="preserve"> </w:t>
      </w:r>
      <w:r>
        <w:rPr>
          <w:sz w:val="20"/>
          <w:rFonts w:ascii="Verdana" w:hAnsi="Verdana"/>
        </w:rPr>
        <w:t xml:space="preserve">Aceste discuri de frână sunt utilizate la autoturisme, vehicule comerciale, motociclete.</w:t>
      </w:r>
    </w:p>
    <w:p w14:paraId="60596E8F" w14:textId="3C497F8E" w:rsidR="00422B2F" w:rsidRPr="00B8041C" w:rsidRDefault="00A43A3F" w:rsidP="00457D6F">
      <w:pPr>
        <w:pStyle w:val="Default"/>
        <w:numPr>
          <w:ilvl w:val="0"/>
          <w:numId w:val="1"/>
        </w:numPr>
        <w:rPr>
          <w:sz w:val="20"/>
          <w:szCs w:val="20"/>
          <w:rFonts w:ascii="Verdana" w:hAnsi="Verdana"/>
        </w:rPr>
      </w:pPr>
      <w:r>
        <w:rPr>
          <w:sz w:val="20"/>
          <w:b/>
          <w:rFonts w:ascii="Verdana" w:hAnsi="Verdana"/>
        </w:rPr>
        <w:t xml:space="preserve">Mărimi și variante</w:t>
      </w:r>
      <w:r>
        <w:rPr>
          <w:sz w:val="20"/>
          <w:rFonts w:ascii="Verdana" w:hAnsi="Verdana"/>
        </w:rPr>
        <w:t xml:space="preserve">:</w:t>
      </w:r>
      <w:r>
        <w:rPr>
          <w:sz w:val="20"/>
          <w:rFonts w:ascii="Verdana" w:hAnsi="Verdana"/>
        </w:rPr>
        <w:t xml:space="preserve"> </w:t>
      </w:r>
      <w:r>
        <w:rPr>
          <w:sz w:val="20"/>
          <w:rFonts w:ascii="Verdana" w:hAnsi="Verdana"/>
        </w:rPr>
        <w:t xml:space="preserve">Sunt disponibile mai multe mărimi și modele potrivite pentru o varietate de modele de vehicule și sisteme de frânare</w:t>
      </w:r>
    </w:p>
    <w:p w14:paraId="4C1A7A1B" w14:textId="77777777" w:rsidR="00422B2F" w:rsidRPr="00422B2F" w:rsidRDefault="00422B2F" w:rsidP="00457D6F">
      <w:pPr>
        <w:pStyle w:val="Default"/>
        <w:rPr>
          <w:rFonts w:ascii="Verdana" w:hAnsi="Verdana"/>
          <w:b/>
          <w:bCs/>
          <w:sz w:val="20"/>
          <w:szCs w:val="20"/>
        </w:rPr>
      </w:pPr>
    </w:p>
    <w:p w14:paraId="1F99607C" w14:textId="61F3413C" w:rsidR="00457D6F" w:rsidRPr="00422B2F" w:rsidRDefault="00457D6F" w:rsidP="00457D6F">
      <w:pPr>
        <w:pStyle w:val="Default"/>
        <w:rPr>
          <w:sz w:val="20"/>
          <w:szCs w:val="20"/>
          <w:rFonts w:ascii="Verdana" w:hAnsi="Verdana"/>
        </w:rPr>
      </w:pPr>
      <w:r>
        <w:rPr>
          <w:sz w:val="20"/>
          <w:b/>
          <w:rFonts w:ascii="Verdana" w:hAnsi="Verdana"/>
        </w:rPr>
        <w:t xml:space="preserve">Documentație tehnică</w:t>
      </w:r>
      <w:r>
        <w:rPr>
          <w:sz w:val="20"/>
          <w:rFonts w:ascii="Verdana" w:hAnsi="Verdana"/>
        </w:rPr>
        <w:t xml:space="preserve">:</w:t>
      </w:r>
      <w:r>
        <w:rPr>
          <w:sz w:val="20"/>
          <w:rFonts w:ascii="Verdana" w:hAnsi="Verdana"/>
        </w:rPr>
        <w:t xml:space="preserve"> </w:t>
      </w:r>
      <w:r>
        <w:rPr>
          <w:sz w:val="20"/>
          <w:rFonts w:ascii="Verdana" w:hAnsi="Verdana"/>
        </w:rPr>
        <w:t xml:space="preserve">Producătorul a păstrat o documentație tehnică detaliată care include:</w:t>
      </w:r>
    </w:p>
    <w:p w14:paraId="5A172A52" w14:textId="77777777" w:rsidR="00457D6F" w:rsidRPr="00422B2F" w:rsidRDefault="00457D6F" w:rsidP="00457D6F">
      <w:pPr>
        <w:pStyle w:val="Default"/>
        <w:rPr>
          <w:rFonts w:ascii="Verdana" w:hAnsi="Verdana"/>
          <w:sz w:val="20"/>
          <w:szCs w:val="20"/>
        </w:rPr>
      </w:pPr>
    </w:p>
    <w:p w14:paraId="45BF6B3F" w14:textId="77777777" w:rsidR="00457D6F" w:rsidRPr="00422B2F" w:rsidRDefault="00457D6F" w:rsidP="00457D6F">
      <w:pPr>
        <w:pStyle w:val="Default"/>
        <w:numPr>
          <w:ilvl w:val="0"/>
          <w:numId w:val="3"/>
        </w:numPr>
        <w:rPr>
          <w:sz w:val="20"/>
          <w:szCs w:val="20"/>
          <w:rFonts w:ascii="Verdana" w:hAnsi="Verdana"/>
        </w:rPr>
      </w:pPr>
      <w:r>
        <w:rPr>
          <w:sz w:val="20"/>
          <w:rFonts w:ascii="Verdana" w:hAnsi="Verdana"/>
        </w:rPr>
        <w:t xml:space="preserve">Proiectarea și procesele de fabricație.</w:t>
      </w:r>
    </w:p>
    <w:p w14:paraId="5B823976" w14:textId="77777777" w:rsidR="00457D6F" w:rsidRPr="00422B2F" w:rsidRDefault="00457D6F" w:rsidP="00457D6F">
      <w:pPr>
        <w:pStyle w:val="Default"/>
        <w:numPr>
          <w:ilvl w:val="0"/>
          <w:numId w:val="3"/>
        </w:numPr>
        <w:rPr>
          <w:sz w:val="20"/>
          <w:szCs w:val="20"/>
          <w:rFonts w:ascii="Verdana" w:hAnsi="Verdana"/>
        </w:rPr>
      </w:pPr>
      <w:r>
        <w:rPr>
          <w:sz w:val="20"/>
          <w:rFonts w:ascii="Verdana" w:hAnsi="Verdana"/>
        </w:rPr>
        <w:t xml:space="preserve">Rezultatele testelor de siguranță și performanță.</w:t>
      </w:r>
    </w:p>
    <w:p w14:paraId="2DE33B16" w14:textId="77777777" w:rsidR="00457D6F" w:rsidRPr="00422B2F" w:rsidRDefault="00457D6F" w:rsidP="00457D6F">
      <w:pPr>
        <w:pStyle w:val="Default"/>
        <w:numPr>
          <w:ilvl w:val="0"/>
          <w:numId w:val="3"/>
        </w:numPr>
        <w:rPr>
          <w:sz w:val="20"/>
          <w:szCs w:val="20"/>
          <w:rFonts w:ascii="Verdana" w:hAnsi="Verdana"/>
        </w:rPr>
      </w:pPr>
      <w:r>
        <w:rPr>
          <w:sz w:val="20"/>
          <w:rFonts w:ascii="Verdana" w:hAnsi="Verdana"/>
        </w:rPr>
        <w:t xml:space="preserve">Evaluări ale riscurilor și măsuri de atenuare.</w:t>
      </w:r>
    </w:p>
    <w:p w14:paraId="015E7EF5" w14:textId="77777777" w:rsidR="00457D6F" w:rsidRPr="00422B2F" w:rsidRDefault="00457D6F" w:rsidP="00457D6F">
      <w:pPr>
        <w:pStyle w:val="Default"/>
        <w:numPr>
          <w:ilvl w:val="0"/>
          <w:numId w:val="3"/>
        </w:numPr>
        <w:rPr>
          <w:sz w:val="20"/>
          <w:szCs w:val="20"/>
          <w:rFonts w:ascii="Verdana" w:hAnsi="Verdana"/>
        </w:rPr>
      </w:pPr>
      <w:r>
        <w:rPr>
          <w:sz w:val="20"/>
          <w:rFonts w:ascii="Verdana" w:hAnsi="Verdana"/>
        </w:rPr>
        <w:t xml:space="preserve">Certificate de conformitate de la laboratoare de testare acreditate</w:t>
      </w:r>
    </w:p>
    <w:p w14:paraId="213926D1" w14:textId="77777777" w:rsidR="00457D6F" w:rsidRPr="00422B2F" w:rsidRDefault="00457D6F" w:rsidP="00457D6F">
      <w:pPr>
        <w:pStyle w:val="Default"/>
        <w:rPr>
          <w:rFonts w:ascii="Verdana" w:hAnsi="Verdana"/>
          <w:sz w:val="20"/>
          <w:szCs w:val="20"/>
        </w:rPr>
      </w:pPr>
    </w:p>
    <w:p w14:paraId="2892E10B" w14:textId="77777777" w:rsidR="00457D6F" w:rsidRPr="00422B2F" w:rsidRDefault="00457D6F" w:rsidP="00457D6F">
      <w:pPr>
        <w:pStyle w:val="Default"/>
        <w:rPr>
          <w:b/>
          <w:bCs/>
          <w:sz w:val="20"/>
          <w:szCs w:val="20"/>
          <w:u w:val="single"/>
          <w:rFonts w:ascii="Verdana" w:hAnsi="Verdana"/>
        </w:rPr>
      </w:pPr>
      <w:r>
        <w:rPr>
          <w:b/>
          <w:sz w:val="20"/>
          <w:u w:val="single"/>
          <w:rFonts w:ascii="Verdana" w:hAnsi="Verdana"/>
        </w:rPr>
        <w:t xml:space="preserve">Reglementări</w:t>
      </w:r>
    </w:p>
    <w:p w14:paraId="0F455ACF" w14:textId="77777777" w:rsidR="00C3368F" w:rsidRDefault="00C3368F" w:rsidP="00457D6F">
      <w:pPr>
        <w:pStyle w:val="Default"/>
        <w:rPr>
          <w:rFonts w:ascii="Verdana" w:hAnsi="Verdana"/>
          <w:sz w:val="20"/>
          <w:szCs w:val="20"/>
        </w:rPr>
      </w:pPr>
    </w:p>
    <w:p w14:paraId="3BD117FF" w14:textId="3E52F31C" w:rsidR="00457D6F" w:rsidRPr="00422B2F" w:rsidRDefault="00457D6F" w:rsidP="00457D6F">
      <w:pPr>
        <w:pStyle w:val="Default"/>
        <w:rPr>
          <w:sz w:val="20"/>
          <w:szCs w:val="20"/>
          <w:rFonts w:ascii="Verdana" w:hAnsi="Verdana"/>
        </w:rPr>
      </w:pPr>
      <w:r>
        <w:rPr>
          <w:sz w:val="20"/>
          <w:rFonts w:ascii="Verdana" w:hAnsi="Verdana"/>
        </w:rPr>
        <w:t xml:space="preserve">Am evidențiat mai jos câteva dintre principalele articole ale Regulamentului și prezentăm modul în care produsele noastre sunt conforme cu aceste cerințe:</w:t>
      </w:r>
    </w:p>
    <w:p w14:paraId="5F9257BB" w14:textId="77777777" w:rsidR="00457D6F" w:rsidRPr="00422B2F" w:rsidRDefault="00457D6F" w:rsidP="00457D6F">
      <w:pPr>
        <w:pStyle w:val="Default"/>
        <w:rPr>
          <w:rFonts w:ascii="Verdana" w:hAnsi="Verdana"/>
          <w:b/>
          <w:bCs/>
          <w:color w:val="auto"/>
          <w:sz w:val="20"/>
          <w:szCs w:val="20"/>
        </w:rPr>
      </w:pPr>
    </w:p>
    <w:p w14:paraId="0C3C8B09" w14:textId="77777777" w:rsidR="00457D6F" w:rsidRPr="00422B2F" w:rsidRDefault="00457D6F" w:rsidP="00457D6F">
      <w:pPr>
        <w:pStyle w:val="Default"/>
        <w:rPr>
          <w:b/>
          <w:bCs/>
          <w:color w:val="auto"/>
          <w:sz w:val="20"/>
          <w:szCs w:val="20"/>
          <w:rFonts w:ascii="Verdana" w:hAnsi="Verdana"/>
        </w:rPr>
      </w:pPr>
      <w:r>
        <w:rPr>
          <w:b/>
          <w:color w:val="auto"/>
          <w:sz w:val="20"/>
          <w:rFonts w:ascii="Verdana" w:hAnsi="Verdana"/>
        </w:rPr>
        <w:t xml:space="preserve">Articolul 5</w:t>
      </w:r>
    </w:p>
    <w:p w14:paraId="09AE938B" w14:textId="77777777" w:rsidR="00457D6F" w:rsidRPr="00422B2F" w:rsidRDefault="00457D6F" w:rsidP="00457D6F">
      <w:pPr>
        <w:pStyle w:val="Default"/>
        <w:rPr>
          <w:color w:val="auto"/>
          <w:sz w:val="20"/>
          <w:szCs w:val="20"/>
          <w:rFonts w:ascii="Verdana" w:hAnsi="Verdana"/>
        </w:rPr>
      </w:pPr>
      <w:r>
        <w:rPr>
          <w:color w:val="auto"/>
          <w:sz w:val="20"/>
          <w:rFonts w:ascii="Verdana" w:hAnsi="Verdana"/>
        </w:rPr>
        <w:t xml:space="preserve">Cerința generală de siguranță:</w:t>
      </w:r>
      <w:r>
        <w:rPr>
          <w:color w:val="auto"/>
          <w:sz w:val="20"/>
          <w:rFonts w:ascii="Verdana" w:hAnsi="Verdana"/>
        </w:rPr>
        <w:t xml:space="preserve"> </w:t>
      </w:r>
      <w:r>
        <w:rPr>
          <w:color w:val="auto"/>
          <w:sz w:val="20"/>
          <w:rFonts w:ascii="Verdana" w:hAnsi="Verdana"/>
        </w:rPr>
        <w:t xml:space="preserve">În calitate de operator economic, vom introduce sau vom pune la dispoziție pe piață numai produse sigure.</w:t>
      </w:r>
    </w:p>
    <w:p w14:paraId="095EE29D" w14:textId="77777777" w:rsidR="00457D6F" w:rsidRPr="00422B2F" w:rsidRDefault="00457D6F" w:rsidP="00457D6F">
      <w:pPr>
        <w:pStyle w:val="Default"/>
        <w:rPr>
          <w:rFonts w:ascii="Verdana" w:hAnsi="Verdana"/>
          <w:color w:val="auto"/>
          <w:sz w:val="20"/>
          <w:szCs w:val="20"/>
        </w:rPr>
      </w:pPr>
    </w:p>
    <w:p w14:paraId="18284D78" w14:textId="77777777" w:rsidR="00457D6F" w:rsidRPr="00422B2F" w:rsidRDefault="00457D6F" w:rsidP="00457D6F">
      <w:pPr>
        <w:pStyle w:val="Default"/>
        <w:rPr>
          <w:b/>
          <w:bCs/>
          <w:color w:val="auto"/>
          <w:sz w:val="20"/>
          <w:szCs w:val="20"/>
          <w:rFonts w:ascii="Verdana" w:hAnsi="Verdana"/>
        </w:rPr>
      </w:pPr>
      <w:r>
        <w:rPr>
          <w:b/>
          <w:color w:val="auto"/>
          <w:sz w:val="20"/>
          <w:rFonts w:ascii="Verdana" w:hAnsi="Verdana"/>
        </w:rPr>
        <w:t xml:space="preserve">Articolul 6</w:t>
      </w:r>
    </w:p>
    <w:p w14:paraId="5D30C36B" w14:textId="77777777" w:rsidR="00457D6F" w:rsidRPr="00422B2F" w:rsidRDefault="00457D6F" w:rsidP="00457D6F">
      <w:pPr>
        <w:pStyle w:val="Default"/>
        <w:rPr>
          <w:sz w:val="20"/>
          <w:szCs w:val="20"/>
          <w:rFonts w:ascii="Verdana" w:hAnsi="Verdana"/>
        </w:rPr>
      </w:pPr>
      <w:r>
        <w:rPr>
          <w:sz w:val="20"/>
          <w:color w:val="auto"/>
          <w:rFonts w:ascii="Verdana" w:hAnsi="Verdana"/>
        </w:rPr>
        <w:t xml:space="preserve">Aspecte avute în vedere la evaluarea siguranței produselor:</w:t>
      </w:r>
      <w:r>
        <w:rPr>
          <w:sz w:val="20"/>
          <w:color w:val="auto"/>
          <w:rFonts w:ascii="Verdana" w:hAnsi="Verdana"/>
        </w:rPr>
        <w:t xml:space="preserve"> </w:t>
      </w:r>
      <w:r>
        <w:rPr>
          <w:sz w:val="20"/>
          <w:color w:val="auto"/>
          <w:rFonts w:ascii="Verdana" w:hAnsi="Verdana"/>
        </w:rPr>
        <w:t xml:space="preserve">Atunci când evaluăm dacă produsele noastre sunt sigure, avem în vedere caracteristicile produsului, inclusiv concepția sa</w:t>
      </w:r>
      <w:r>
        <w:rPr>
          <w:sz w:val="20"/>
          <w:rFonts w:ascii="Verdana" w:hAnsi="Verdana"/>
        </w:rPr>
        <w:t xml:space="preserve">, caracteristicile sale tehnice, compoziția sa, ambalajul său, instrucțiunile sale de asamblare și, atunci când este cazul, cele de instalare, utilizare și întreținere.</w:t>
      </w:r>
      <w:r>
        <w:rPr>
          <w:sz w:val="20"/>
          <w:rFonts w:ascii="Verdana" w:hAnsi="Verdana"/>
        </w:rPr>
        <w:t xml:space="preserve"> </w:t>
      </w:r>
      <w:r>
        <w:rPr>
          <w:sz w:val="20"/>
          <w:rFonts w:ascii="Verdana" w:hAnsi="Verdana"/>
        </w:rPr>
        <w:t xml:space="preserve">Instrucțiunile de instalare sunt incluse alături de produse și sunt disponibile și online.</w:t>
      </w:r>
    </w:p>
    <w:p w14:paraId="32C5BD02" w14:textId="77777777" w:rsidR="00457D6F" w:rsidRPr="00422B2F" w:rsidRDefault="00457D6F" w:rsidP="00457D6F">
      <w:pPr>
        <w:pStyle w:val="Default"/>
        <w:rPr>
          <w:sz w:val="20"/>
          <w:szCs w:val="20"/>
          <w:rFonts w:ascii="Verdana" w:hAnsi="Verdana"/>
        </w:rPr>
      </w:pPr>
      <w:r>
        <w:rPr>
          <w:sz w:val="20"/>
          <w:rFonts w:ascii="Verdana" w:hAnsi="Verdana"/>
        </w:rPr>
        <w:t xml:space="preserve">Evaluăm următoarele aspecte suplimentare:</w:t>
      </w:r>
    </w:p>
    <w:p w14:paraId="66F0C719" w14:textId="5BECA899" w:rsidR="00457D6F" w:rsidRPr="00EB5263" w:rsidRDefault="00457D6F" w:rsidP="00457D6F">
      <w:pPr>
        <w:pStyle w:val="Default"/>
        <w:numPr>
          <w:ilvl w:val="0"/>
          <w:numId w:val="5"/>
        </w:numPr>
        <w:rPr>
          <w:color w:val="000000" w:themeColor="text1"/>
          <w:sz w:val="20"/>
          <w:szCs w:val="20"/>
          <w:rFonts w:ascii="Verdana" w:hAnsi="Verdana"/>
        </w:rPr>
      </w:pPr>
      <w:r>
        <w:rPr>
          <w:sz w:val="20"/>
          <w:rFonts w:ascii="Verdana" w:hAnsi="Verdana"/>
        </w:rPr>
        <w:t xml:space="preserve">Efectul asupra altor produse, deoarece piesele noastre pot fi utilizate pentru interconectarea altor elemente (de ex. </w:t>
      </w:r>
      <w:r>
        <w:rPr>
          <w:sz w:val="20"/>
          <w:color w:val="000000" w:themeColor="text1"/>
          <w:rFonts w:ascii="Verdana" w:hAnsi="Verdana"/>
        </w:rPr>
        <w:t xml:space="preserve">discuri și etriere).</w:t>
      </w:r>
    </w:p>
    <w:p w14:paraId="3E12EDF6" w14:textId="77777777" w:rsidR="00457D6F" w:rsidRPr="00422B2F" w:rsidRDefault="00457D6F" w:rsidP="00457D6F">
      <w:pPr>
        <w:pStyle w:val="Default"/>
        <w:numPr>
          <w:ilvl w:val="0"/>
          <w:numId w:val="5"/>
        </w:numPr>
        <w:rPr>
          <w:sz w:val="20"/>
          <w:szCs w:val="20"/>
          <w:rFonts w:ascii="Verdana" w:hAnsi="Verdana"/>
        </w:rPr>
      </w:pPr>
      <w:r>
        <w:rPr>
          <w:sz w:val="20"/>
          <w:rFonts w:ascii="Verdana" w:hAnsi="Verdana"/>
        </w:rPr>
        <w:t xml:space="preserve">Efectul pe care alte produse l-ar putea avea asupra produselor noastre, în cazul în care acest lucru este previzibil în mod rezonabil.</w:t>
      </w:r>
    </w:p>
    <w:p w14:paraId="773FD513" w14:textId="77777777" w:rsidR="00457D6F" w:rsidRPr="00422B2F" w:rsidRDefault="00457D6F" w:rsidP="00457D6F">
      <w:pPr>
        <w:pStyle w:val="Default"/>
        <w:numPr>
          <w:ilvl w:val="0"/>
          <w:numId w:val="5"/>
        </w:numPr>
        <w:rPr>
          <w:sz w:val="20"/>
          <w:szCs w:val="20"/>
          <w:rFonts w:ascii="Verdana" w:hAnsi="Verdana"/>
        </w:rPr>
      </w:pPr>
      <w:r>
        <w:rPr>
          <w:sz w:val="20"/>
          <w:rFonts w:ascii="Verdana" w:hAnsi="Verdana"/>
        </w:rPr>
        <w:t xml:space="preserve">Prezentarea produsului, etichetarea, avertismentele și instrucțiunile referitoare la utilizarea sa în condiții de siguranță.</w:t>
      </w:r>
    </w:p>
    <w:p w14:paraId="66DE2A84" w14:textId="77777777" w:rsidR="00457D6F" w:rsidRPr="00422B2F" w:rsidRDefault="00457D6F" w:rsidP="00457D6F">
      <w:pPr>
        <w:pStyle w:val="Default"/>
        <w:numPr>
          <w:ilvl w:val="0"/>
          <w:numId w:val="5"/>
        </w:numPr>
        <w:rPr>
          <w:sz w:val="20"/>
          <w:szCs w:val="20"/>
          <w:rFonts w:ascii="Verdana" w:hAnsi="Verdana"/>
        </w:rPr>
      </w:pPr>
      <w:r>
        <w:rPr>
          <w:sz w:val="20"/>
          <w:rFonts w:ascii="Verdana" w:hAnsi="Verdana"/>
        </w:rPr>
        <w:t xml:space="preserve">Caracterul adecvat al produselor noastre pentru diverse categorii de consumatori, inclusiv persoane cu dizabilități, precum și impactul acestora asupra siguranței.</w:t>
      </w:r>
    </w:p>
    <w:p w14:paraId="74120A74" w14:textId="77777777" w:rsidR="00457D6F" w:rsidRPr="00422B2F" w:rsidRDefault="00457D6F" w:rsidP="00457D6F">
      <w:pPr>
        <w:pStyle w:val="Default"/>
        <w:rPr>
          <w:rFonts w:ascii="Verdana" w:hAnsi="Verdana"/>
          <w:color w:val="auto"/>
          <w:sz w:val="20"/>
          <w:szCs w:val="20"/>
        </w:rPr>
      </w:pPr>
    </w:p>
    <w:p w14:paraId="5E6FB5FE" w14:textId="4FEE0545" w:rsidR="00457D6F" w:rsidRPr="00422B2F" w:rsidRDefault="00457D6F" w:rsidP="00457D6F">
      <w:pPr>
        <w:pStyle w:val="Default"/>
        <w:rPr>
          <w:b/>
          <w:bCs/>
          <w:color w:val="auto"/>
          <w:sz w:val="20"/>
          <w:szCs w:val="20"/>
          <w:rFonts w:ascii="Verdana" w:hAnsi="Verdana"/>
        </w:rPr>
      </w:pPr>
      <w:r>
        <w:rPr>
          <w:b/>
          <w:color w:val="auto"/>
          <w:sz w:val="20"/>
          <w:rFonts w:ascii="Verdana" w:hAnsi="Verdana"/>
        </w:rPr>
        <w:t xml:space="preserve">Articolele 7 și 8</w:t>
      </w:r>
    </w:p>
    <w:p w14:paraId="7EA5AF01" w14:textId="0D01D4CB" w:rsidR="00457D6F" w:rsidRDefault="00457D6F" w:rsidP="00457D6F">
      <w:pPr>
        <w:pStyle w:val="Default"/>
        <w:rPr>
          <w:sz w:val="20"/>
          <w:szCs w:val="20"/>
          <w:rFonts w:ascii="Verdana" w:hAnsi="Verdana"/>
        </w:rPr>
      </w:pPr>
      <w:r>
        <w:rPr>
          <w:sz w:val="20"/>
          <w:rFonts w:ascii="Verdana" w:hAnsi="Verdana"/>
        </w:rPr>
        <w:t xml:space="preserve">Prezumția de conformitate cu cerința generală de siguranță:</w:t>
      </w:r>
      <w:r>
        <w:rPr>
          <w:sz w:val="20"/>
          <w:rFonts w:ascii="Verdana" w:hAnsi="Verdana"/>
        </w:rPr>
        <w:t xml:space="preserve"> </w:t>
      </w:r>
      <w:r>
        <w:rPr>
          <w:sz w:val="20"/>
          <w:rFonts w:ascii="Verdana" w:hAnsi="Verdana"/>
        </w:rPr>
        <w:t xml:space="preserve">Produsele noastre sunt conforme și au fost testate independent în conformitate cu standardele europene și internaționale relevante.</w:t>
      </w:r>
      <w:r>
        <w:rPr>
          <w:sz w:val="20"/>
          <w:rFonts w:ascii="Verdana" w:hAnsi="Verdana"/>
        </w:rPr>
        <w:t xml:space="preserve"> </w:t>
      </w:r>
      <w:r>
        <w:rPr>
          <w:sz w:val="20"/>
          <w:rFonts w:ascii="Verdana" w:hAnsi="Verdana"/>
        </w:rPr>
        <w:t xml:space="preserve">Acolo unde este cazul, produsele noastre sunt, de asemenea, aprobate în conformitate cu Regulamentul (CEE) nr. 3037/90, Certificatul obligatoriu din China, SAE J2975 și SAE J661 și TUV/KBA.</w:t>
      </w:r>
      <w:r>
        <w:rPr>
          <w:sz w:val="20"/>
          <w:rFonts w:ascii="Verdana" w:hAnsi="Verdana"/>
        </w:rPr>
        <w:t xml:space="preserve">  </w:t>
      </w:r>
      <w:r>
        <w:rPr>
          <w:sz w:val="20"/>
          <w:rFonts w:ascii="Verdana" w:hAnsi="Verdana"/>
        </w:rPr>
        <w:t xml:space="preserve">Substanțele periculoase enumerate în Directiva 2000/53/UE (vehicule scoase din uz) nu sunt prezente peste limitele stabilite în directiva respectivă.</w:t>
      </w:r>
    </w:p>
    <w:p w14:paraId="2FAD1570" w14:textId="77777777" w:rsidR="00FA5EC1" w:rsidRDefault="00FA5EC1" w:rsidP="00FA5EC1">
      <w:pPr>
        <w:pStyle w:val="Default"/>
        <w:rPr>
          <w:rFonts w:ascii="Verdana" w:hAnsi="Verdana"/>
          <w:sz w:val="20"/>
          <w:szCs w:val="20"/>
        </w:rPr>
      </w:pPr>
    </w:p>
    <w:p w14:paraId="3537C27C" w14:textId="6CE86357" w:rsidR="00457D6F" w:rsidRPr="00422B2F" w:rsidRDefault="00457D6F" w:rsidP="00457D6F">
      <w:pPr>
        <w:pStyle w:val="Default"/>
        <w:rPr>
          <w:rFonts w:ascii="Verdana" w:hAnsi="Verdana"/>
          <w:sz w:val="20"/>
          <w:szCs w:val="20"/>
        </w:rPr>
      </w:pPr>
    </w:p>
    <w:p w14:paraId="372CD21C" w14:textId="77777777" w:rsidR="00457D6F" w:rsidRPr="00422B2F" w:rsidRDefault="00457D6F" w:rsidP="00457D6F">
      <w:pPr>
        <w:pStyle w:val="Default"/>
        <w:numPr>
          <w:ilvl w:val="0"/>
          <w:numId w:val="4"/>
        </w:numPr>
        <w:rPr>
          <w:sz w:val="20"/>
          <w:szCs w:val="20"/>
          <w:rFonts w:ascii="Verdana" w:hAnsi="Verdana"/>
        </w:rPr>
      </w:pPr>
      <w:r>
        <w:rPr>
          <w:sz w:val="20"/>
          <w:rFonts w:ascii="Verdana" w:hAnsi="Verdana"/>
        </w:rPr>
        <w:t xml:space="preserve">Produsele noastre sunt conforme cu standardele UE</w:t>
      </w:r>
      <w:r>
        <w:rPr>
          <w:sz w:val="20"/>
          <w:rFonts w:ascii="Verdana" w:hAnsi="Verdana"/>
        </w:rPr>
        <w:t xml:space="preserve"> </w:t>
      </w:r>
    </w:p>
    <w:p w14:paraId="0CC63F59" w14:textId="77777777" w:rsidR="00457D6F" w:rsidRPr="00422B2F" w:rsidRDefault="00457D6F" w:rsidP="00457D6F">
      <w:pPr>
        <w:pStyle w:val="Default"/>
        <w:numPr>
          <w:ilvl w:val="0"/>
          <w:numId w:val="4"/>
        </w:numPr>
        <w:rPr>
          <w:sz w:val="20"/>
          <w:szCs w:val="20"/>
          <w:rFonts w:ascii="Verdana" w:hAnsi="Verdana"/>
        </w:rPr>
      </w:pPr>
      <w:r>
        <w:rPr>
          <w:sz w:val="20"/>
          <w:rFonts w:ascii="Verdana" w:hAnsi="Verdana"/>
        </w:rPr>
        <w:t xml:space="preserve">Aderăm la standardele internaționale aplicabile, apelând la organisme științifice externe pentru teste specializate atunci când este necesar.</w:t>
      </w:r>
    </w:p>
    <w:p w14:paraId="2C78E265" w14:textId="77777777" w:rsidR="00457D6F" w:rsidRPr="00422B2F" w:rsidRDefault="00457D6F" w:rsidP="00457D6F">
      <w:pPr>
        <w:pStyle w:val="Default"/>
        <w:numPr>
          <w:ilvl w:val="0"/>
          <w:numId w:val="4"/>
        </w:numPr>
        <w:rPr>
          <w:sz w:val="20"/>
          <w:szCs w:val="20"/>
          <w:rFonts w:ascii="Verdana" w:hAnsi="Verdana"/>
        </w:rPr>
      </w:pPr>
      <w:r>
        <w:rPr>
          <w:sz w:val="20"/>
          <w:rFonts w:ascii="Verdana" w:hAnsi="Verdana"/>
        </w:rPr>
        <w:t xml:space="preserve">Produsele noastre sporesc siguranța consumatorilor și sunt testate în medii solicitante.</w:t>
      </w:r>
    </w:p>
    <w:p w14:paraId="349204D9" w14:textId="77777777" w:rsidR="00457D6F" w:rsidRPr="00422B2F" w:rsidRDefault="00457D6F" w:rsidP="00457D6F">
      <w:pPr>
        <w:pStyle w:val="Default"/>
        <w:rPr>
          <w:rFonts w:ascii="Verdana" w:hAnsi="Verdana"/>
          <w:sz w:val="20"/>
          <w:szCs w:val="20"/>
        </w:rPr>
      </w:pPr>
    </w:p>
    <w:p w14:paraId="60D0CF99" w14:textId="77777777" w:rsidR="00457D6F" w:rsidRPr="00422B2F" w:rsidRDefault="00457D6F" w:rsidP="00457D6F">
      <w:pPr>
        <w:pStyle w:val="Default"/>
        <w:rPr>
          <w:sz w:val="20"/>
          <w:szCs w:val="20"/>
          <w:rFonts w:ascii="Verdana" w:hAnsi="Verdana"/>
        </w:rPr>
      </w:pPr>
      <w:r>
        <w:rPr>
          <w:sz w:val="20"/>
          <w:rFonts w:ascii="Verdana" w:hAnsi="Verdana"/>
        </w:rPr>
        <w:t xml:space="preserve">Această </w:t>
      </w:r>
      <w:r>
        <w:rPr>
          <w:sz w:val="20"/>
          <w:b/>
          <w:bCs/>
          <w:rFonts w:ascii="Verdana" w:hAnsi="Verdana"/>
        </w:rPr>
        <w:t xml:space="preserve">Declarație de Conformitate a Fabricației</w:t>
      </w:r>
      <w:r>
        <w:rPr>
          <w:sz w:val="20"/>
          <w:rFonts w:ascii="Verdana" w:hAnsi="Verdana"/>
        </w:rPr>
        <w:t xml:space="preserve"> are rolul de a confirma faptul că produsele noastre sunt conforme cu </w:t>
      </w:r>
      <w:r>
        <w:rPr>
          <w:sz w:val="20"/>
          <w:b/>
          <w:bCs/>
          <w:rFonts w:ascii="Verdana" w:hAnsi="Verdana"/>
        </w:rPr>
        <w:t xml:space="preserve">Regulamentul privind Siguranța Generală a Produselor</w:t>
      </w:r>
      <w:r>
        <w:rPr>
          <w:sz w:val="20"/>
          <w:rFonts w:ascii="Verdana" w:hAnsi="Verdana"/>
        </w:rPr>
        <w:t xml:space="preserve"> și sunt sigure pentru utilizarea de către consumatori în condiții normale.</w:t>
      </w:r>
    </w:p>
    <w:p w14:paraId="45B90775" w14:textId="77777777" w:rsidR="00457D6F" w:rsidRPr="00422B2F" w:rsidRDefault="00457D6F" w:rsidP="00457D6F">
      <w:pPr>
        <w:pStyle w:val="Default"/>
        <w:rPr>
          <w:sz w:val="20"/>
          <w:szCs w:val="20"/>
          <w:rFonts w:ascii="Verdana" w:hAnsi="Verdana"/>
        </w:rPr>
      </w:pPr>
      <w:r>
        <w:rPr>
          <w:sz w:val="20"/>
          <w:rFonts w:ascii="Verdana" w:hAnsi="Verdana"/>
        </w:rPr>
        <w:t xml:space="preserve">Toate produsele fabricate sunt testate și pot fi urmărite în conformitate cu standardele de reglementare, iar sistemele care controlează procesul lor de fabricație sunt supuse unor evaluări externe din partea mai multor organisme recunoscute.</w:t>
      </w:r>
    </w:p>
    <w:p w14:paraId="665FFC67" w14:textId="77777777" w:rsidR="00457D6F" w:rsidRPr="00422B2F" w:rsidRDefault="00457D6F" w:rsidP="00457D6F">
      <w:pPr>
        <w:pStyle w:val="Default"/>
        <w:rPr>
          <w:sz w:val="20"/>
          <w:szCs w:val="20"/>
          <w:rFonts w:ascii="Verdana" w:hAnsi="Verdana"/>
        </w:rPr>
      </w:pPr>
      <w:r>
        <w:rPr>
          <w:sz w:val="20"/>
          <w:rFonts w:ascii="Verdana" w:hAnsi="Verdana"/>
        </w:rPr>
        <w:t xml:space="preserve">Această declarație include:</w:t>
      </w:r>
    </w:p>
    <w:p w14:paraId="0B62E0A6" w14:textId="77777777" w:rsidR="00457D6F" w:rsidRPr="00422B2F" w:rsidRDefault="00457D6F" w:rsidP="00457D6F">
      <w:pPr>
        <w:pStyle w:val="Default"/>
        <w:numPr>
          <w:ilvl w:val="0"/>
          <w:numId w:val="2"/>
        </w:numPr>
        <w:rPr>
          <w:sz w:val="20"/>
          <w:szCs w:val="20"/>
          <w:rFonts w:ascii="Verdana" w:hAnsi="Verdana"/>
        </w:rPr>
      </w:pPr>
      <w:r>
        <w:rPr>
          <w:sz w:val="20"/>
          <w:rFonts w:ascii="Verdana" w:hAnsi="Verdana"/>
        </w:rPr>
        <w:t xml:space="preserve">Specificațiile produsului.</w:t>
      </w:r>
    </w:p>
    <w:p w14:paraId="6B5102FD" w14:textId="77777777" w:rsidR="00457D6F" w:rsidRPr="00422B2F" w:rsidRDefault="00457D6F" w:rsidP="00457D6F">
      <w:pPr>
        <w:pStyle w:val="Default"/>
        <w:numPr>
          <w:ilvl w:val="0"/>
          <w:numId w:val="2"/>
        </w:numPr>
        <w:rPr>
          <w:sz w:val="20"/>
          <w:szCs w:val="20"/>
          <w:rFonts w:ascii="Verdana" w:hAnsi="Verdana"/>
        </w:rPr>
      </w:pPr>
      <w:r>
        <w:rPr>
          <w:sz w:val="20"/>
          <w:rFonts w:ascii="Verdana" w:hAnsi="Verdana"/>
        </w:rPr>
        <w:t xml:space="preserve">O descriere a procesului de evaluare a siguranței.</w:t>
      </w:r>
    </w:p>
    <w:p w14:paraId="1DEC9714" w14:textId="77777777" w:rsidR="00457D6F" w:rsidRPr="00422B2F" w:rsidRDefault="00457D6F" w:rsidP="00457D6F">
      <w:pPr>
        <w:pStyle w:val="Default"/>
        <w:numPr>
          <w:ilvl w:val="0"/>
          <w:numId w:val="2"/>
        </w:numPr>
        <w:rPr>
          <w:sz w:val="20"/>
          <w:szCs w:val="20"/>
          <w:rFonts w:ascii="Verdana" w:hAnsi="Verdana"/>
        </w:rPr>
      </w:pPr>
      <w:r>
        <w:rPr>
          <w:sz w:val="20"/>
          <w:rFonts w:ascii="Verdana" w:hAnsi="Verdana"/>
        </w:rPr>
        <w:t xml:space="preserve">Identificarea standardelor utilizate pentru evaluarea siguranței produsului.</w:t>
      </w:r>
    </w:p>
    <w:p w14:paraId="186C94CA" w14:textId="77777777" w:rsidR="00457D6F" w:rsidRPr="00422B2F" w:rsidRDefault="00457D6F" w:rsidP="00457D6F">
      <w:pPr>
        <w:pStyle w:val="Default"/>
        <w:numPr>
          <w:ilvl w:val="0"/>
          <w:numId w:val="2"/>
        </w:numPr>
        <w:rPr>
          <w:sz w:val="20"/>
          <w:szCs w:val="20"/>
          <w:rFonts w:ascii="Verdana" w:hAnsi="Verdana"/>
        </w:rPr>
      </w:pPr>
      <w:r>
        <w:rPr>
          <w:sz w:val="20"/>
          <w:rFonts w:ascii="Verdana" w:hAnsi="Verdana"/>
        </w:rPr>
        <w:t xml:space="preserve">Datele și informațiile de contact ale producătorului.</w:t>
      </w:r>
    </w:p>
    <w:p w14:paraId="1894B78B" w14:textId="77777777" w:rsidR="00457D6F" w:rsidRDefault="00457D6F" w:rsidP="00457D6F">
      <w:pPr>
        <w:rPr>
          <w:rFonts w:ascii="Verdana" w:hAnsi="Verdana" w:cs="Arial"/>
          <w:color w:val="000000"/>
          <w:sz w:val="20"/>
          <w:szCs w:val="20"/>
          <w:lang w:val="en-GB"/>
        </w:rPr>
      </w:pPr>
    </w:p>
    <w:p w14:paraId="1BB922A9" w14:textId="77777777" w:rsidR="008E1B2A" w:rsidRPr="00422B2F" w:rsidRDefault="008E1B2A" w:rsidP="00457D6F">
      <w:pPr>
        <w:rPr>
          <w:rFonts w:ascii="Verdana" w:hAnsi="Verdana" w:cs="Arial"/>
          <w:color w:val="000000"/>
          <w:sz w:val="20"/>
          <w:szCs w:val="20"/>
          <w:lang w:val="en-GB"/>
        </w:rPr>
      </w:pPr>
    </w:p>
    <w:tbl>
      <w:tblPr>
        <w:tblStyle w:val="TableGrid"/>
        <w:tblW w:w="0" w:type="auto"/>
        <w:tblInd w:w="1688" w:type="dxa"/>
        <w:tblLook w:val="04A0" w:firstRow="1" w:lastRow="0" w:firstColumn="1" w:lastColumn="0" w:noHBand="0" w:noVBand="1"/>
      </w:tblPr>
      <w:tblGrid>
        <w:gridCol w:w="1559"/>
        <w:gridCol w:w="2127"/>
        <w:gridCol w:w="3685"/>
      </w:tblGrid>
      <w:tr w:rsidR="00457D6F" w:rsidRPr="00422B2F" w14:paraId="27EC4A20" w14:textId="77777777" w:rsidTr="008C705A">
        <w:tc>
          <w:tcPr>
            <w:tcW w:w="1559" w:type="dxa"/>
          </w:tcPr>
          <w:p w14:paraId="10A7E360" w14:textId="77777777" w:rsidR="00457D6F" w:rsidRPr="00C3368F" w:rsidRDefault="00457D6F" w:rsidP="00DE10C3">
            <w:pPr>
              <w:rPr>
                <w:color w:val="000000"/>
                <w:sz w:val="96"/>
                <w:szCs w:val="96"/>
                <w:rFonts w:ascii="Verdana" w:hAnsi="Verdana" w:cs="Arial"/>
              </w:rPr>
            </w:pPr>
            <w:bookmarkStart w:id="2" w:name="_Hlk187826583"/>
            <w:r>
              <w:rPr>
                <w:color w:val="000000"/>
                <w:sz w:val="96"/>
                <w:rFonts w:ascii="Verdana" w:hAnsi="Verdana"/>
              </w:rPr>
              <w:t xml:space="preserve">REP</w:t>
            </w:r>
          </w:p>
        </w:tc>
        <w:tc>
          <w:tcPr>
            <w:tcW w:w="2127" w:type="dxa"/>
          </w:tcPr>
          <w:p w14:paraId="13CA8D81" w14:textId="77777777" w:rsidR="00457D6F" w:rsidRPr="00C3368F" w:rsidRDefault="00457D6F" w:rsidP="00DE10C3">
            <w:pPr>
              <w:rPr>
                <w:color w:val="000000"/>
                <w:sz w:val="96"/>
                <w:szCs w:val="96"/>
                <w:rFonts w:ascii="Verdana" w:hAnsi="Verdana" w:cs="Arial"/>
              </w:rPr>
            </w:pPr>
            <w:r>
              <w:rPr>
                <w:color w:val="000000"/>
                <w:sz w:val="96"/>
                <w:rFonts w:ascii="Verdana" w:hAnsi="Verdana"/>
              </w:rPr>
              <w:t xml:space="preserve">CE</w:t>
            </w:r>
          </w:p>
        </w:tc>
        <w:tc>
          <w:tcPr>
            <w:tcW w:w="3685" w:type="dxa"/>
          </w:tcPr>
          <w:p w14:paraId="5CA3471B" w14:textId="77777777" w:rsidR="00457D6F" w:rsidRPr="00422B2F" w:rsidRDefault="00457D6F" w:rsidP="00DE10C3">
            <w:pPr>
              <w:rPr>
                <w:color w:val="000000"/>
                <w:sz w:val="20"/>
                <w:szCs w:val="20"/>
                <w:rFonts w:ascii="Verdana" w:hAnsi="Verdana" w:cs="Arial"/>
              </w:rPr>
            </w:pPr>
            <w:r>
              <w:rPr>
                <w:color w:val="000000"/>
                <w:sz w:val="20"/>
                <w:rFonts w:ascii="Verdana" w:hAnsi="Verdana"/>
              </w:rPr>
              <w:t xml:space="preserve">EBC Brakes Germany e.K.</w:t>
            </w:r>
          </w:p>
          <w:p w14:paraId="7EEBCE51" w14:textId="77777777" w:rsidR="00457D6F" w:rsidRPr="00422B2F" w:rsidRDefault="00457D6F" w:rsidP="00DE10C3">
            <w:pPr>
              <w:rPr>
                <w:color w:val="000000"/>
                <w:sz w:val="20"/>
                <w:szCs w:val="20"/>
                <w:rFonts w:ascii="Verdana" w:hAnsi="Verdana" w:cs="Arial"/>
              </w:rPr>
            </w:pPr>
            <w:r>
              <w:rPr>
                <w:color w:val="000000"/>
                <w:sz w:val="20"/>
                <w:rFonts w:ascii="Verdana" w:hAnsi="Verdana"/>
              </w:rPr>
              <w:t xml:space="preserve">Hertha-Sponer-Str. 9</w:t>
            </w:r>
          </w:p>
          <w:p w14:paraId="3756EEC4" w14:textId="77777777" w:rsidR="00457D6F" w:rsidRPr="00422B2F" w:rsidRDefault="00457D6F" w:rsidP="00DE10C3">
            <w:pPr>
              <w:rPr>
                <w:color w:val="000000"/>
                <w:sz w:val="20"/>
                <w:szCs w:val="20"/>
                <w:rFonts w:ascii="Verdana" w:hAnsi="Verdana" w:cs="Arial"/>
              </w:rPr>
            </w:pPr>
            <w:r>
              <w:rPr>
                <w:color w:val="000000"/>
                <w:sz w:val="20"/>
                <w:rFonts w:ascii="Verdana" w:hAnsi="Verdana"/>
              </w:rPr>
              <w:t xml:space="preserve">28816 Stuhr</w:t>
            </w:r>
          </w:p>
          <w:p w14:paraId="1D129A11" w14:textId="77777777" w:rsidR="00457D6F" w:rsidRPr="00422B2F" w:rsidRDefault="00457D6F" w:rsidP="00DE10C3">
            <w:pPr>
              <w:rPr>
                <w:color w:val="000000"/>
                <w:sz w:val="20"/>
                <w:szCs w:val="20"/>
                <w:rFonts w:ascii="Verdana" w:hAnsi="Verdana" w:cs="Arial"/>
              </w:rPr>
            </w:pPr>
            <w:r>
              <w:rPr>
                <w:color w:val="000000"/>
                <w:sz w:val="20"/>
                <w:rFonts w:ascii="Verdana" w:hAnsi="Verdana"/>
              </w:rPr>
              <w:t xml:space="preserve">Germania</w:t>
            </w:r>
          </w:p>
          <w:p w14:paraId="6DAD2EE0" w14:textId="77777777" w:rsidR="00457D6F" w:rsidRPr="00422B2F" w:rsidRDefault="00457D6F" w:rsidP="00DE10C3">
            <w:pPr>
              <w:rPr>
                <w:color w:val="000000"/>
                <w:sz w:val="20"/>
                <w:szCs w:val="20"/>
                <w:rFonts w:ascii="Verdana" w:hAnsi="Verdana" w:cs="Arial"/>
              </w:rPr>
            </w:pPr>
            <w:hyperlink r:id="rId7" w:history="1">
              <w:r>
                <w:rPr>
                  <w:rStyle w:val="Hyperlink"/>
                  <w:sz w:val="20"/>
                  <w:rFonts w:ascii="Verdana" w:hAnsi="Verdana"/>
                </w:rPr>
                <w:t xml:space="preserve">info@ebc-brakes.de</w:t>
              </w:r>
            </w:hyperlink>
          </w:p>
        </w:tc>
      </w:tr>
      <w:bookmarkEnd w:id="2"/>
    </w:tbl>
    <w:p w14:paraId="47AB2DA9" w14:textId="1F3CC4AB" w:rsidR="0034349A" w:rsidRPr="0034349A" w:rsidRDefault="0034349A" w:rsidP="008B3C98"/>
    <w:sectPr w:rsidR="0034349A" w:rsidRPr="0034349A" w:rsidSect="00CD0BFD">
      <w:headerReference w:type="default" r:id="rId8"/>
      <w:footerReference w:type="default" r:id="rId9"/>
      <w:pgSz w:w="11900" w:h="16840"/>
      <w:pgMar w:top="3260" w:right="560" w:bottom="1440" w:left="567" w:header="2835"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C7A45" w14:textId="77777777" w:rsidR="0027329A" w:rsidRDefault="0027329A">
      <w:r>
        <w:separator/>
      </w:r>
    </w:p>
  </w:endnote>
  <w:endnote w:type="continuationSeparator" w:id="0">
    <w:p w14:paraId="5CABC79E" w14:textId="77777777" w:rsidR="0027329A" w:rsidRDefault="0027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4010" w14:textId="77777777" w:rsidR="0034349A" w:rsidRDefault="0034349A">
    <w:pPr>
      <w:pStyle w:val="Footer"/>
    </w:pPr>
    <w:r>
      <w:drawing>
        <wp:anchor distT="0" distB="0" distL="114300" distR="114300" simplePos="0" relativeHeight="251661312" behindDoc="0" locked="0" layoutInCell="1" allowOverlap="1" wp14:anchorId="389845DD" wp14:editId="44BD0634">
          <wp:simplePos x="0" y="0"/>
          <wp:positionH relativeFrom="page">
            <wp:posOffset>18415</wp:posOffset>
          </wp:positionH>
          <wp:positionV relativeFrom="page">
            <wp:posOffset>9994900</wp:posOffset>
          </wp:positionV>
          <wp:extent cx="7518400" cy="694690"/>
          <wp:effectExtent l="0" t="0" r="0" b="0"/>
          <wp:wrapTight wrapText="bothSides">
            <wp:wrapPolygon edited="0">
              <wp:start x="0" y="0"/>
              <wp:lineTo x="0" y="20534"/>
              <wp:lineTo x="21527" y="20534"/>
              <wp:lineTo x="21527" y="0"/>
              <wp:lineTo x="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bottom.pdf"/>
                  <pic:cNvPicPr/>
                </pic:nvPicPr>
                <pic:blipFill>
                  <a:blip r:embed="rId1">
                    <a:extLst>
                      <a:ext uri="{28A0092B-C50C-407E-A947-70E740481C1C}">
                        <a14:useLocalDpi xmlns:a14="http://schemas.microsoft.com/office/drawing/2010/main" val="0"/>
                      </a:ext>
                    </a:extLst>
                  </a:blip>
                  <a:stretch>
                    <a:fillRect/>
                  </a:stretch>
                </pic:blipFill>
                <pic:spPr>
                  <a:xfrm>
                    <a:off x="0" y="0"/>
                    <a:ext cx="7518400" cy="6946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08C44" w14:textId="77777777" w:rsidR="0027329A" w:rsidRDefault="0027329A">
      <w:r>
        <w:separator/>
      </w:r>
    </w:p>
  </w:footnote>
  <w:footnote w:type="continuationSeparator" w:id="0">
    <w:p w14:paraId="42C6D7CE" w14:textId="77777777" w:rsidR="0027329A" w:rsidRDefault="0027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9B167" w14:textId="77777777" w:rsidR="0034349A" w:rsidRDefault="0034349A">
    <w:pPr>
      <w:pStyle w:val="Header"/>
    </w:pPr>
    <w:bookmarkStart w:id="3" w:name="_MacBuGuideStaticData_15480H"/>
    <w:bookmarkStart w:id="4" w:name="_MacBuGuideStaticData_2940H"/>
    <w:r>
      <w:drawing>
        <wp:anchor distT="0" distB="0" distL="114300" distR="114300" simplePos="0" relativeHeight="251659264" behindDoc="0" locked="0" layoutInCell="1" allowOverlap="1" wp14:anchorId="1ED9C529" wp14:editId="236D7117">
          <wp:simplePos x="0" y="0"/>
          <wp:positionH relativeFrom="page">
            <wp:posOffset>12700</wp:posOffset>
          </wp:positionH>
          <wp:positionV relativeFrom="page">
            <wp:posOffset>7620</wp:posOffset>
          </wp:positionV>
          <wp:extent cx="7556500" cy="1850390"/>
          <wp:effectExtent l="0" t="0" r="12700" b="3810"/>
          <wp:wrapTight wrapText="bothSides">
            <wp:wrapPolygon edited="0">
              <wp:start x="0" y="0"/>
              <wp:lineTo x="0" y="21348"/>
              <wp:lineTo x="21564" y="21348"/>
              <wp:lineTo x="21564"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 header.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850390"/>
                  </a:xfrm>
                  <a:prstGeom prst="rect">
                    <a:avLst/>
                  </a:prstGeom>
                </pic:spPr>
              </pic:pic>
            </a:graphicData>
          </a:graphic>
          <wp14:sizeRelV relativeFrom="margin">
            <wp14:pctHeight>0</wp14:pctHeight>
          </wp14:sizeRelV>
        </wp:anchor>
      </w:drawing>
    </w:r>
  </w:p>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31C4D"/>
    <w:multiLevelType w:val="hybridMultilevel"/>
    <w:tmpl w:val="F676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02A28"/>
    <w:multiLevelType w:val="hybridMultilevel"/>
    <w:tmpl w:val="16DE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22B2B"/>
    <w:multiLevelType w:val="hybridMultilevel"/>
    <w:tmpl w:val="AFE0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85C5A"/>
    <w:multiLevelType w:val="hybridMultilevel"/>
    <w:tmpl w:val="6712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173719"/>
    <w:multiLevelType w:val="hybridMultilevel"/>
    <w:tmpl w:val="EE00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037DA3"/>
    <w:multiLevelType w:val="multilevel"/>
    <w:tmpl w:val="5ED0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360426">
    <w:abstractNumId w:val="5"/>
  </w:num>
  <w:num w:numId="2" w16cid:durableId="662273965">
    <w:abstractNumId w:val="3"/>
  </w:num>
  <w:num w:numId="3" w16cid:durableId="1726220157">
    <w:abstractNumId w:val="4"/>
  </w:num>
  <w:num w:numId="4" w16cid:durableId="1156533830">
    <w:abstractNumId w:val="0"/>
  </w:num>
  <w:num w:numId="5" w16cid:durableId="1488594627">
    <w:abstractNumId w:val="1"/>
  </w:num>
  <w:num w:numId="6" w16cid:durableId="2030983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dirty"/>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796927"/>
    <w:rsid w:val="000317CF"/>
    <w:rsid w:val="000515D9"/>
    <w:rsid w:val="00070AE7"/>
    <w:rsid w:val="000B6B6E"/>
    <w:rsid w:val="001336DA"/>
    <w:rsid w:val="001756F6"/>
    <w:rsid w:val="0027329A"/>
    <w:rsid w:val="002912A5"/>
    <w:rsid w:val="002D3BC0"/>
    <w:rsid w:val="003135BD"/>
    <w:rsid w:val="0034349A"/>
    <w:rsid w:val="00364973"/>
    <w:rsid w:val="003A61EE"/>
    <w:rsid w:val="00422B2F"/>
    <w:rsid w:val="00440998"/>
    <w:rsid w:val="00457D6F"/>
    <w:rsid w:val="00493DDA"/>
    <w:rsid w:val="00543258"/>
    <w:rsid w:val="005F1BE0"/>
    <w:rsid w:val="0060174C"/>
    <w:rsid w:val="00631450"/>
    <w:rsid w:val="006D7849"/>
    <w:rsid w:val="00756968"/>
    <w:rsid w:val="0076728F"/>
    <w:rsid w:val="00796927"/>
    <w:rsid w:val="007A6444"/>
    <w:rsid w:val="007D609F"/>
    <w:rsid w:val="00852ABA"/>
    <w:rsid w:val="008A6AAC"/>
    <w:rsid w:val="008B3C98"/>
    <w:rsid w:val="008B7672"/>
    <w:rsid w:val="008C705A"/>
    <w:rsid w:val="008E1B2A"/>
    <w:rsid w:val="009062E7"/>
    <w:rsid w:val="00947215"/>
    <w:rsid w:val="009E28F9"/>
    <w:rsid w:val="00A3223E"/>
    <w:rsid w:val="00A43A3F"/>
    <w:rsid w:val="00A45109"/>
    <w:rsid w:val="00B41328"/>
    <w:rsid w:val="00B62364"/>
    <w:rsid w:val="00B8041C"/>
    <w:rsid w:val="00C22CFC"/>
    <w:rsid w:val="00C3368F"/>
    <w:rsid w:val="00C377CA"/>
    <w:rsid w:val="00C74A23"/>
    <w:rsid w:val="00CD0BFD"/>
    <w:rsid w:val="00D16C56"/>
    <w:rsid w:val="00DF580E"/>
    <w:rsid w:val="00E0218E"/>
    <w:rsid w:val="00E136F5"/>
    <w:rsid w:val="00E15225"/>
    <w:rsid w:val="00E72389"/>
    <w:rsid w:val="00E73A8D"/>
    <w:rsid w:val="00E81C4C"/>
    <w:rsid w:val="00E93B01"/>
    <w:rsid w:val="00EB5263"/>
    <w:rsid w:val="00ED0854"/>
    <w:rsid w:val="00F13684"/>
    <w:rsid w:val="00F63F49"/>
    <w:rsid w:val="00FA5EC1"/>
    <w:rsid w:val="00FD18A0"/>
  </w:rsids>
  <m:mathPr>
    <m:mathFont m:val="Cambria Math"/>
    <m:brkBin m:val="before"/>
    <m:brkBinSub m:val="--"/>
    <m:smallFrac m:val="0"/>
    <m:dispDef m:val="0"/>
    <m:lMargin m:val="0"/>
    <m:rMargin m:val="0"/>
    <m:defJc m:val="centerGroup"/>
    <m:wrapRight/>
    <m:intLim m:val="subSup"/>
    <m:naryLim m:val="subSup"/>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233544"/>
  <w15:docId w15:val="{95D05DBA-CFD4-B444-94B4-9D28016E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E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927"/>
    <w:pPr>
      <w:tabs>
        <w:tab w:val="center" w:pos="4320"/>
        <w:tab w:val="right" w:pos="8640"/>
      </w:tabs>
    </w:pPr>
  </w:style>
  <w:style w:type="character" w:customStyle="1" w:styleId="HeaderChar">
    <w:name w:val="Header Char"/>
    <w:basedOn w:val="DefaultParagraphFont"/>
    <w:link w:val="Header"/>
    <w:uiPriority w:val="99"/>
    <w:rsid w:val="00796927"/>
    <w:rPr>
      <w:sz w:val="24"/>
      <w:szCs w:val="24"/>
    </w:rPr>
  </w:style>
  <w:style w:type="paragraph" w:styleId="Footer">
    <w:name w:val="footer"/>
    <w:basedOn w:val="Normal"/>
    <w:link w:val="FooterChar"/>
    <w:uiPriority w:val="99"/>
    <w:unhideWhenUsed/>
    <w:rsid w:val="00796927"/>
    <w:pPr>
      <w:tabs>
        <w:tab w:val="center" w:pos="4320"/>
        <w:tab w:val="right" w:pos="8640"/>
      </w:tabs>
    </w:pPr>
  </w:style>
  <w:style w:type="character" w:customStyle="1" w:styleId="FooterChar">
    <w:name w:val="Footer Char"/>
    <w:basedOn w:val="DefaultParagraphFont"/>
    <w:link w:val="Footer"/>
    <w:uiPriority w:val="99"/>
    <w:rsid w:val="00796927"/>
    <w:rPr>
      <w:sz w:val="24"/>
      <w:szCs w:val="24"/>
    </w:rPr>
  </w:style>
  <w:style w:type="character" w:customStyle="1" w:styleId="viewbox">
    <w:name w:val="viewbox"/>
    <w:basedOn w:val="DefaultParagraphFont"/>
    <w:rsid w:val="00A45109"/>
  </w:style>
  <w:style w:type="character" w:styleId="Hyperlink">
    <w:name w:val="Hyperlink"/>
    <w:basedOn w:val="DefaultParagraphFont"/>
    <w:rsid w:val="00457D6F"/>
    <w:rPr>
      <w:color w:val="0000FF"/>
      <w:u w:val="single"/>
    </w:rPr>
  </w:style>
  <w:style w:type="paragraph" w:customStyle="1" w:styleId="Default">
    <w:name w:val="Default"/>
    <w:rsid w:val="00457D6F"/>
    <w:pPr>
      <w:autoSpaceDE w:val="0"/>
      <w:autoSpaceDN w:val="0"/>
      <w:adjustRightInd w:val="0"/>
    </w:pPr>
    <w:rPr>
      <w:rFonts w:ascii="Arial" w:hAnsi="Arial" w:cs="Arial"/>
      <w:color w:val="000000"/>
      <w:sz w:val="24"/>
      <w:szCs w:val="24"/>
      <w:lang w:val="ro-RO"/>
    </w:rPr>
  </w:style>
  <w:style w:type="table" w:styleId="TableGrid">
    <w:name w:val="Table Grid"/>
    <w:basedOn w:val="TableNormal"/>
    <w:uiPriority w:val="59"/>
    <w:rsid w:val="0045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ebc-brake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Freeman Automotive (UK) Ltd</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Brown</dc:creator>
  <cp:lastModifiedBy>Kate Williamson</cp:lastModifiedBy>
  <cp:revision>2</cp:revision>
  <cp:lastPrinted>2015-11-24T11:44:00Z</cp:lastPrinted>
  <dcterms:created xsi:type="dcterms:W3CDTF">2025-02-07T11:20:00Z</dcterms:created>
  <dcterms:modified xsi:type="dcterms:W3CDTF">2025-02-07T11:20:00Z</dcterms:modified>
</cp:coreProperties>
</file>