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Referens: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Förordningen om allmän produktsäkerhet (GPSR) EU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 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Introduktion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Förordningen om allmän produktsäkerhet (GPSR - EU-förordning 2023/988) för produkter som säljs på marknaden i Europeiska unionen (EU) (inklusive produkter som omfattas av harmoniserad lagstiftning) infördes för att säkerställa att produkter som säljs inom EU uppfyller höga säkerhetsstandarder, vilket skyddar konsumenternas hälsa och säkerhet.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Bromsbelägg och bromsskivor är kritiska komponenter i fordons bromssystem</w:t>
      </w:r>
      <w:r>
        <w:rPr>
          <w:sz w:val="20"/>
          <w:rFonts w:ascii="Verdana" w:hAnsi="Verdana"/>
        </w:rPr>
        <w:t xml:space="preserve">, och att säkerställa att de överensstämmer med GPSR är avgörande av både säkerhets-, kvalitets-, miljö- och lagstiftningsskäl.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Produktbeskrivning för bromsbelägg för motorcykel och bil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Funktion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Bromsbelägg är designade för att skapa friktion när de trycks mot bromsskivan, vilket gör att fordon kan sakta ner eller stanna effektivt.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Materialsammansättning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Bromsbelägg är sammansatta av en blandning av material som metall, keramik och organiska föreningar, noggrant utvalda för deras hållbarhet, säkerhet och prestanda.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Måltillämpningar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Dessa bromsbelägg används i personbilar, kommersiella fordon, motorcyklar osv.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Storlek och varianter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Flera storlekar och utföranden finns tillgängliga för att passa en mängd olika fordonsmodeller och bromssystem.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Produktbeskrivning för bromsskivor för motorcykel och bil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Funktion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Bromsskivor är utformade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för att rotera med hjulen.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Bromsbelägg, som är monterade på bromsoken, klämmer fast på dessa rotorer för att stoppa eller bromsa hjulen.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När bromssystemet appliceras, trycker bromsbeläggen mot rotorerna och genererar friktion, som omvandlar kinetisk energi till en termisk energi.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Materialsammansättning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Bromsskivor är sammansatta av antingen gjutjärn, rostfritt och mjukt stål beroende på applikation och är noggrant utvalda för deras hållbarhet, säkerhet och prestanda.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Måltillämpningar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Dessa bromsskivor används i personbilar, kommersiella fordon, motorcyklar.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Storlek och varianter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Flera storlekar och utföranden finns tillgängliga för att passa en mängd olika fordonsmodeller och bromssystem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Teknisk dokumentation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Tillverkaren har bibehållit detaljerad teknisk dokumentation inklusive: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Design- och tillverkningsprocesser.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Resultat av säkerhets- och prestandatester.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Riskbedömningar och begränsningsåtgärder.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Överensstämmelsecertifikat från ackrediterade testlaboratorier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Förordningar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Vi har beskrivit några av de viktigaste artiklarna i förordningarna nedan och visar hur våra produkter uppfyller dessa krav: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Artikel 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Allmänna säkerhetskrav: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Som ekonomisk aktör ska vi endast släppa ut eller göra tillgängliga på marknaden säkra produkter.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Artikel 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Aspekter för bedömning av produkters säkerhet: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När vi bedömer om våra produkter är säkra tar vi hänsyn till produktens egenskaper, inklusive dess design, </w:t>
      </w:r>
      <w:r>
        <w:rPr>
          <w:sz w:val="20"/>
          <w:rFonts w:ascii="Verdana" w:hAnsi="Verdana"/>
        </w:rPr>
        <w:t xml:space="preserve">tekniska egenskaper, sammansättning, förpackning, monteringsanvisningar och i förekommande fall installation, användning och underhåll.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Installationsanvisningar medföljer produkterna samt finns tillgängliga online.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Vi bedömer ytterligare följande aspekter: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Effekten på andra produkter, eftersom våra delar kan fungera som kanal mellan andra föremål (t.ex. </w:t>
      </w:r>
      <w:r>
        <w:rPr>
          <w:sz w:val="20"/>
          <w:color w:val="000000" w:themeColor="text1"/>
          <w:rFonts w:ascii="Verdana" w:hAnsi="Verdana"/>
        </w:rPr>
        <w:t xml:space="preserve">skivor och bromsok).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Den effekt som andra produkter kan ha på våra produkter, där det rimligen kan förutses.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Presentation, märkning, varningar och instruktioner för säker användning.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Lämpligheten av våra produkter för olika konsumentgrupper, inklusive personer med funktionshinder, och deras säkerhetsaspekter.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Artikel 7 &amp; 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Antagande om överensstämmelse med det allmänna säkerhetskravet: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Våra produkter överensstämmer med och har testats oberoende av relevanta europeiska och internationella standarder.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Där det är relevant är våra produkter också godkända enligt ECE-reglemente 90, China Compulsory Certificate, SAE J2975 och SAE J661 och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Farliga ämnen, som anges i direktiv 2000/53/EU (uttjänta fordon) förekommer inte över de gränsvärden som anges i det direktivet.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Våra produkter överensstämmer med EU-standarder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Vi följer tillämpliga internationella standarder och anlitar externa vetenskapliga organ för specialiserade tester vid behov.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Våra produkter ökar konsumentsäkerheten och är beprövade i krävande miljöer.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Denna </w:t>
      </w:r>
      <w:r>
        <w:rPr>
          <w:sz w:val="20"/>
          <w:b/>
          <w:rFonts w:ascii="Verdana" w:hAnsi="Verdana"/>
        </w:rPr>
        <w:t xml:space="preserve">Tillverkningsförsäkran om överensstämmelse</w:t>
      </w:r>
      <w:r>
        <w:rPr>
          <w:sz w:val="20"/>
          <w:rFonts w:ascii="Verdana" w:hAnsi="Verdana"/>
        </w:rPr>
        <w:t xml:space="preserve"> bekräftar att våra produkter följer </w:t>
      </w:r>
      <w:r>
        <w:rPr>
          <w:sz w:val="20"/>
          <w:b/>
          <w:rFonts w:ascii="Verdana" w:hAnsi="Verdana"/>
        </w:rPr>
        <w:t xml:space="preserve">Förordningen om allmän produktsäkerhet </w:t>
      </w:r>
      <w:r>
        <w:rPr>
          <w:sz w:val="20"/>
          <w:rFonts w:ascii="Verdana" w:hAnsi="Verdana"/>
        </w:rPr>
        <w:t xml:space="preserve">och är säkra att använda av konsumenter under normala förhållanden.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Alla produkter som tillverkas är testade och spårbara enligt regleringsstandarder, och system som styr deras tillverkningsprocess är föremål för externa bedömningar från flera erkända organ.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Denna försäkran inkluderar: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Produktens specifikationer.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En beskrivning av säkerhetsbedömningsprocessen.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Identifiering av de standarder som används för att bedöma produktens säkerhet.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Tillverkarens uppgifter och kontaktuppgifter.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Tyskland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