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ED5ED" w14:textId="77777777" w:rsidR="00457D6F" w:rsidRPr="00422B2F" w:rsidRDefault="00457D6F" w:rsidP="00457D6F">
      <w:pPr>
        <w:rPr>
          <w:color w:val="000000"/>
          <w:sz w:val="20"/>
          <w:szCs w:val="20"/>
          <w:rFonts w:ascii="Verdana" w:hAnsi="Verdana" w:cs="Arial"/>
        </w:rPr>
      </w:pPr>
      <w:r>
        <w:rPr>
          <w:sz w:val="20"/>
          <w:b/>
          <w:color w:val="000000"/>
          <w:rFonts w:ascii="Verdana" w:hAnsi="Verdana"/>
        </w:rPr>
        <w:t xml:space="preserve">Referans:</w:t>
      </w:r>
      <w:r>
        <w:rPr>
          <w:sz w:val="20"/>
          <w:b/>
          <w:color w:val="000000"/>
          <w:rFonts w:ascii="Verdana" w:hAnsi="Verdana"/>
        </w:rPr>
        <w:t xml:space="preserve"> </w:t>
      </w:r>
      <w:r>
        <w:rPr>
          <w:sz w:val="20"/>
          <w:b/>
          <w:color w:val="000000"/>
          <w:rFonts w:ascii="Verdana" w:hAnsi="Verdana"/>
        </w:rPr>
        <w:tab/>
      </w:r>
      <w:r>
        <w:rPr>
          <w:sz w:val="20"/>
          <w:b/>
          <w:color w:val="000000"/>
          <w:rFonts w:ascii="Verdana" w:hAnsi="Verdana"/>
        </w:rPr>
        <w:t xml:space="preserve">Genel Ürün Güvenliği Yönetmeliği (GPSR) AB</w:t>
      </w:r>
      <w:r>
        <w:rPr>
          <w:sz w:val="20"/>
          <w:color w:val="111111"/>
          <w:shd w:val="clear" w:color="auto" w:fill="FFFFFF"/>
          <w:rFonts w:ascii="Verdana" w:hAnsi="Verdana"/>
        </w:rPr>
        <w:t xml:space="preserve"> </w:t>
      </w:r>
      <w:r>
        <w:rPr>
          <w:sz w:val="20"/>
          <w:b/>
          <w:color w:val="000000"/>
          <w:rFonts w:ascii="Verdana" w:hAnsi="Verdana"/>
        </w:rPr>
        <w:t xml:space="preserve">2023/988</w:t>
      </w:r>
    </w:p>
    <w:p w14:paraId="1C31E60D" w14:textId="77777777" w:rsidR="00457D6F" w:rsidRPr="00422B2F" w:rsidRDefault="00457D6F" w:rsidP="00457D6F">
      <w:pPr>
        <w:pStyle w:val="Default"/>
        <w:rPr>
          <w:rFonts w:ascii="Verdana" w:hAnsi="Verdana"/>
          <w:sz w:val="20"/>
          <w:szCs w:val="20"/>
        </w:rPr>
      </w:pPr>
    </w:p>
    <w:p w14:paraId="41534B5A" w14:textId="77777777" w:rsidR="00457D6F" w:rsidRPr="00422B2F" w:rsidRDefault="00457D6F" w:rsidP="00457D6F">
      <w:pPr>
        <w:pStyle w:val="Default"/>
        <w:rPr>
          <w:b/>
          <w:bCs/>
          <w:sz w:val="20"/>
          <w:szCs w:val="20"/>
          <w:u w:val="single"/>
          <w:rFonts w:ascii="Verdana" w:hAnsi="Verdana"/>
        </w:rPr>
      </w:pPr>
      <w:r>
        <w:rPr>
          <w:b/>
          <w:sz w:val="20"/>
          <w:u w:val="single"/>
          <w:rFonts w:ascii="Verdana" w:hAnsi="Verdana"/>
        </w:rPr>
        <w:t xml:space="preserve">Giriş</w:t>
      </w:r>
    </w:p>
    <w:p w14:paraId="337E923D" w14:textId="77777777" w:rsidR="00457D6F" w:rsidRPr="00422B2F" w:rsidRDefault="00457D6F" w:rsidP="00457D6F">
      <w:pPr>
        <w:pStyle w:val="Default"/>
        <w:rPr>
          <w:rFonts w:ascii="Verdana" w:hAnsi="Verdana"/>
          <w:b/>
          <w:bCs/>
          <w:sz w:val="20"/>
          <w:szCs w:val="20"/>
          <w:u w:val="single"/>
        </w:rPr>
      </w:pPr>
    </w:p>
    <w:p w14:paraId="19BD0022" w14:textId="77777777" w:rsidR="00457D6F" w:rsidRPr="00422B2F" w:rsidRDefault="00457D6F" w:rsidP="00457D6F">
      <w:pPr>
        <w:pStyle w:val="Default"/>
        <w:rPr>
          <w:color w:val="auto"/>
          <w:sz w:val="20"/>
          <w:szCs w:val="20"/>
          <w:rFonts w:ascii="Verdana" w:hAnsi="Verdana"/>
        </w:rPr>
      </w:pPr>
      <w:r>
        <w:rPr>
          <w:color w:val="auto"/>
          <w:sz w:val="20"/>
          <w:rFonts w:ascii="Verdana" w:hAnsi="Verdana"/>
        </w:rPr>
        <w:t xml:space="preserve">Genel Ürün Güvenliği Yönetmeliği (GPSR - AB Yönetmeliği 2023/988), Avrupa Birliği (AB) pazarında satılan ürünler (uyumlaştırılmış mevzuata tabi ürünler dahil) için getirilmiş olup, AB'de satılan ürünlerin yüksek güvenlik standartlarını karşılamasını ve tüketicilerin sağlık ve güvenliğinin korunmasını sağlamayı amaçlamaktadır.</w:t>
      </w:r>
    </w:p>
    <w:p w14:paraId="02BAE741" w14:textId="75DF1A7E" w:rsidR="00457D6F" w:rsidRPr="00422B2F" w:rsidRDefault="00457D6F" w:rsidP="00457D6F">
      <w:pPr>
        <w:pStyle w:val="Default"/>
        <w:rPr>
          <w:sz w:val="20"/>
          <w:szCs w:val="20"/>
          <w:rFonts w:ascii="Verdana" w:hAnsi="Verdana"/>
        </w:rPr>
      </w:pPr>
      <w:r>
        <w:rPr>
          <w:sz w:val="20"/>
          <w:color w:val="auto"/>
          <w:rFonts w:ascii="Verdana" w:hAnsi="Verdana"/>
        </w:rPr>
        <w:t xml:space="preserve">Fren balataları ve fren diskleri, araçların frenleme sistemlerinde kritik bileşenler olup</w:t>
      </w:r>
      <w:r>
        <w:rPr>
          <w:sz w:val="20"/>
          <w:rFonts w:ascii="Verdana" w:hAnsi="Verdana"/>
        </w:rPr>
        <w:t xml:space="preserve">, bunların GPSR'ye uygunluğunun sağlanması, güvenlik, kalite, çevresel ve yasal nedenlerle büyük önem taşımaktadır.</w:t>
      </w:r>
    </w:p>
    <w:p w14:paraId="5746665A" w14:textId="77777777" w:rsidR="00457D6F" w:rsidRPr="00422B2F" w:rsidRDefault="00457D6F" w:rsidP="00457D6F">
      <w:pPr>
        <w:pStyle w:val="Default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 </w:t>
      </w:r>
    </w:p>
    <w:p w14:paraId="42D17E50" w14:textId="415D2127" w:rsidR="00457D6F" w:rsidRPr="00DF580E" w:rsidRDefault="00457D6F" w:rsidP="00457D6F">
      <w:pPr>
        <w:pStyle w:val="Default"/>
        <w:rPr>
          <w:b/>
          <w:bCs/>
          <w:sz w:val="20"/>
          <w:szCs w:val="20"/>
          <w:u w:val="single"/>
          <w:rFonts w:ascii="Verdana" w:hAnsi="Verdana"/>
        </w:rPr>
      </w:pPr>
      <w:bookmarkStart w:id="0" w:name="_Hlk188447919"/>
      <w:r>
        <w:rPr>
          <w:b/>
          <w:sz w:val="20"/>
          <w:u w:val="single"/>
          <w:rFonts w:ascii="Verdana" w:hAnsi="Verdana"/>
        </w:rPr>
        <w:t xml:space="preserve">Motosiklet ve Otomotiv Fren Balataları için Ürün Açıklaması</w:t>
      </w:r>
      <w:r>
        <w:rPr>
          <w:b/>
          <w:sz w:val="20"/>
          <w:u w:val="single"/>
          <w:rFonts w:ascii="Verdana" w:hAnsi="Verdana"/>
        </w:rPr>
        <w:t xml:space="preserve"> </w:t>
      </w:r>
    </w:p>
    <w:bookmarkEnd w:id="0"/>
    <w:p w14:paraId="79E797F4" w14:textId="77777777" w:rsidR="00457D6F" w:rsidRPr="00DF580E" w:rsidRDefault="00457D6F" w:rsidP="00457D6F">
      <w:pPr>
        <w:pStyle w:val="Default"/>
        <w:rPr>
          <w:rFonts w:ascii="Verdana" w:hAnsi="Verdana"/>
          <w:b/>
          <w:bCs/>
          <w:sz w:val="20"/>
          <w:szCs w:val="20"/>
          <w:u w:val="single"/>
        </w:rPr>
      </w:pPr>
    </w:p>
    <w:p w14:paraId="44BD6420" w14:textId="77777777" w:rsidR="00457D6F" w:rsidRPr="00DF580E" w:rsidRDefault="00457D6F" w:rsidP="00457D6F">
      <w:pPr>
        <w:pStyle w:val="Default"/>
        <w:numPr>
          <w:ilvl w:val="0"/>
          <w:numId w:val="1"/>
        </w:numPr>
        <w:rPr>
          <w:sz w:val="20"/>
          <w:szCs w:val="20"/>
          <w:rFonts w:ascii="Verdana" w:hAnsi="Verdana"/>
        </w:rPr>
      </w:pPr>
      <w:r>
        <w:rPr>
          <w:sz w:val="20"/>
          <w:b/>
          <w:rFonts w:ascii="Verdana" w:hAnsi="Verdana"/>
        </w:rPr>
        <w:t xml:space="preserve">İşlev</w:t>
      </w:r>
      <w:r>
        <w:rPr>
          <w:sz w:val="20"/>
          <w:rFonts w:ascii="Verdana" w:hAnsi="Verdana"/>
        </w:rPr>
        <w:t xml:space="preserve">: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Fren balataları, fren diskine doğru bastırıldığında sürtünme oluşturarak araçların yavaşlamasını veya durmasını sağlayacak şekilde tasarlanmıştır.</w:t>
      </w:r>
    </w:p>
    <w:p w14:paraId="30B6FC76" w14:textId="77777777" w:rsidR="00457D6F" w:rsidRPr="00DF580E" w:rsidRDefault="00457D6F" w:rsidP="00457D6F">
      <w:pPr>
        <w:pStyle w:val="Default"/>
        <w:numPr>
          <w:ilvl w:val="0"/>
          <w:numId w:val="1"/>
        </w:numPr>
        <w:rPr>
          <w:sz w:val="20"/>
          <w:szCs w:val="20"/>
          <w:rFonts w:ascii="Verdana" w:hAnsi="Verdana"/>
        </w:rPr>
      </w:pPr>
      <w:bookmarkStart w:id="1" w:name="_Hlk188448356"/>
      <w:r>
        <w:rPr>
          <w:sz w:val="20"/>
          <w:b/>
          <w:rFonts w:ascii="Verdana" w:hAnsi="Verdana"/>
        </w:rPr>
        <w:t xml:space="preserve">Malzeme Bileşimi</w:t>
      </w:r>
      <w:r>
        <w:rPr>
          <w:sz w:val="20"/>
          <w:rFonts w:ascii="Verdana" w:hAnsi="Verdana"/>
        </w:rPr>
        <w:t xml:space="preserve">: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Fren balataları, dayanıklılık, güvenlik ve performans özellikleri nedeniyle dikkatle seçilmiş metal, seramik ve organik bileşenler gibi çeşitli malzemelerin karışımlarından oluşur.</w:t>
      </w:r>
    </w:p>
    <w:bookmarkEnd w:id="1"/>
    <w:p w14:paraId="770016BA" w14:textId="77777777" w:rsidR="00457D6F" w:rsidRPr="00DF580E" w:rsidRDefault="00457D6F" w:rsidP="00457D6F">
      <w:pPr>
        <w:pStyle w:val="Default"/>
        <w:numPr>
          <w:ilvl w:val="0"/>
          <w:numId w:val="1"/>
        </w:numPr>
        <w:rPr>
          <w:sz w:val="20"/>
          <w:szCs w:val="20"/>
          <w:rFonts w:ascii="Verdana" w:hAnsi="Verdana"/>
        </w:rPr>
      </w:pPr>
      <w:r>
        <w:rPr>
          <w:sz w:val="20"/>
          <w:b/>
          <w:bCs/>
          <w:rFonts w:ascii="Verdana" w:hAnsi="Verdana"/>
        </w:rPr>
        <w:t xml:space="preserve">Hedef Uygulamalar</w:t>
      </w:r>
      <w:r>
        <w:rPr>
          <w:sz w:val="20"/>
          <w:rFonts w:ascii="Verdana" w:hAnsi="Verdana"/>
        </w:rPr>
        <w:t xml:space="preserve">: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Bu fren balataları, yolcu araçları, ticari araçlar, motosikletler vb. için kullanılmaktadır.</w:t>
      </w:r>
    </w:p>
    <w:p w14:paraId="5974D1EF" w14:textId="77777777" w:rsidR="00457D6F" w:rsidRPr="00DF580E" w:rsidRDefault="00457D6F" w:rsidP="00457D6F">
      <w:pPr>
        <w:pStyle w:val="Default"/>
        <w:numPr>
          <w:ilvl w:val="0"/>
          <w:numId w:val="1"/>
        </w:numPr>
        <w:rPr>
          <w:sz w:val="20"/>
          <w:szCs w:val="20"/>
          <w:rFonts w:ascii="Verdana" w:hAnsi="Verdana"/>
        </w:rPr>
      </w:pPr>
      <w:r>
        <w:rPr>
          <w:sz w:val="20"/>
          <w:b/>
          <w:bCs/>
          <w:rFonts w:ascii="Verdana" w:hAnsi="Verdana"/>
        </w:rPr>
        <w:t xml:space="preserve">Boyut ve Çeşitler</w:t>
      </w:r>
      <w:r>
        <w:rPr>
          <w:sz w:val="20"/>
          <w:rFonts w:ascii="Verdana" w:hAnsi="Verdana"/>
        </w:rPr>
        <w:t xml:space="preserve">: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Farklı araç modelleri ve frenleme sistemlerine uyacak şekilde çeşitli boyut ve tasarımlar bulunmaktadır.</w:t>
      </w:r>
    </w:p>
    <w:p w14:paraId="71A69B1B" w14:textId="77777777" w:rsidR="00457D6F" w:rsidRPr="00A43A3F" w:rsidRDefault="00457D6F" w:rsidP="00457D6F">
      <w:pPr>
        <w:pStyle w:val="Default"/>
        <w:rPr>
          <w:rFonts w:ascii="Verdana" w:hAnsi="Verdana"/>
          <w:sz w:val="20"/>
          <w:szCs w:val="20"/>
          <w:highlight w:val="yellow"/>
        </w:rPr>
      </w:pPr>
    </w:p>
    <w:p w14:paraId="46128D20" w14:textId="45074C4C" w:rsidR="00422B2F" w:rsidRPr="00DF580E" w:rsidRDefault="00422B2F" w:rsidP="00422B2F">
      <w:pPr>
        <w:pStyle w:val="Default"/>
        <w:rPr>
          <w:b/>
          <w:bCs/>
          <w:sz w:val="20"/>
          <w:szCs w:val="20"/>
          <w:u w:val="single"/>
          <w:rFonts w:ascii="Verdana" w:hAnsi="Verdana"/>
        </w:rPr>
      </w:pPr>
      <w:r>
        <w:rPr>
          <w:b/>
          <w:sz w:val="20"/>
          <w:u w:val="single"/>
          <w:rFonts w:ascii="Verdana" w:hAnsi="Verdana"/>
        </w:rPr>
        <w:t xml:space="preserve">Motosiklet ve Otomotiv Fren Diskleri için Ürün Açıklaması</w:t>
      </w:r>
    </w:p>
    <w:p w14:paraId="1184AF2D" w14:textId="77777777" w:rsidR="00422B2F" w:rsidRPr="00DF580E" w:rsidRDefault="00422B2F" w:rsidP="00457D6F">
      <w:pPr>
        <w:pStyle w:val="Default"/>
        <w:rPr>
          <w:rFonts w:ascii="Verdana" w:hAnsi="Verdana"/>
          <w:sz w:val="20"/>
          <w:szCs w:val="20"/>
        </w:rPr>
      </w:pPr>
    </w:p>
    <w:p w14:paraId="022C749B" w14:textId="2FE154FA" w:rsidR="00422B2F" w:rsidRPr="00EB5263" w:rsidRDefault="00B8041C" w:rsidP="00EB5263">
      <w:pPr>
        <w:pStyle w:val="Default"/>
        <w:numPr>
          <w:ilvl w:val="0"/>
          <w:numId w:val="6"/>
        </w:numPr>
        <w:rPr>
          <w:b/>
          <w:bCs/>
          <w:color w:val="000000" w:themeColor="text1"/>
          <w:sz w:val="20"/>
          <w:szCs w:val="20"/>
          <w:rFonts w:ascii="Verdana" w:hAnsi="Verdana" w:cs="Vrinda"/>
        </w:rPr>
      </w:pPr>
      <w:r>
        <w:rPr>
          <w:color w:val="000000" w:themeColor="text1"/>
          <w:sz w:val="20"/>
          <w:b/>
          <w:rFonts w:ascii="Verdana" w:hAnsi="Verdana"/>
        </w:rPr>
        <w:t xml:space="preserve">İşlev</w:t>
      </w:r>
      <w:r>
        <w:rPr>
          <w:color w:val="000000" w:themeColor="text1"/>
          <w:sz w:val="20"/>
          <w:rFonts w:ascii="Verdana" w:hAnsi="Verdana"/>
        </w:rPr>
        <w:t xml:space="preserve">:</w:t>
      </w:r>
      <w:r>
        <w:rPr>
          <w:color w:val="000000" w:themeColor="text1"/>
          <w:sz w:val="20"/>
          <w:rFonts w:ascii="Verdana" w:hAnsi="Verdana"/>
        </w:rPr>
        <w:t xml:space="preserve"> </w:t>
      </w:r>
      <w:r>
        <w:rPr>
          <w:color w:val="000000" w:themeColor="text1"/>
          <w:sz w:val="20"/>
          <w:rFonts w:ascii="Verdana" w:hAnsi="Verdana"/>
        </w:rPr>
        <w:t xml:space="preserve">Fren diskleri, </w:t>
      </w:r>
      <w:r>
        <w:rPr>
          <w:color w:val="000000" w:themeColor="text1"/>
          <w:sz w:val="20"/>
          <w:shd w:val="clear" w:color="auto" w:fill="FFFFFF"/>
          <w:rFonts w:ascii="Verdana" w:hAnsi="Verdana"/>
        </w:rPr>
        <w:t xml:space="preserve">tekerleklerle birlikte dönecek şekilde tasarlanmıştır.</w:t>
      </w:r>
      <w:r>
        <w:rPr>
          <w:color w:val="000000" w:themeColor="text1"/>
          <w:sz w:val="20"/>
          <w:shd w:val="clear" w:color="auto" w:fill="FFFFFF"/>
          <w:rFonts w:ascii="Verdana" w:hAnsi="Verdana"/>
        </w:rPr>
        <w:t xml:space="preserve"> </w:t>
      </w:r>
      <w:r>
        <w:rPr>
          <w:color w:val="000000" w:themeColor="text1"/>
          <w:sz w:val="20"/>
          <w:shd w:val="clear" w:color="auto" w:fill="FFFFFF"/>
          <w:rFonts w:ascii="Verdana" w:hAnsi="Verdana"/>
        </w:rPr>
        <w:t xml:space="preserve">Fren kaliperlerine takılan fren balataları, bu diskleri sıkıştırarak tekerleklerin yavaşlamasını veya durmasını sağlar.</w:t>
      </w:r>
      <w:r>
        <w:rPr>
          <w:color w:val="000000" w:themeColor="text1"/>
          <w:sz w:val="20"/>
          <w:shd w:val="clear" w:color="auto" w:fill="FFFFFF"/>
          <w:rFonts w:ascii="Verdana" w:hAnsi="Verdana"/>
        </w:rPr>
        <w:t xml:space="preserve"> </w:t>
      </w:r>
      <w:r>
        <w:rPr>
          <w:color w:val="000000" w:themeColor="text1"/>
          <w:sz w:val="20"/>
          <w:shd w:val="clear" w:color="auto" w:fill="FFFFFF"/>
          <w:rFonts w:ascii="Verdana" w:hAnsi="Verdana"/>
        </w:rPr>
        <w:t xml:space="preserve">Frenleme sistemi uygulandığında, fren balataları disklere baskı yaparak sürtünme oluşturur ve kinetik enerjiyi ısı enerjisine dönüştürür.</w:t>
      </w:r>
    </w:p>
    <w:p w14:paraId="3E552E7A" w14:textId="265EC8C0" w:rsidR="00B8041C" w:rsidRPr="00EB5263" w:rsidRDefault="00B8041C" w:rsidP="00422B2F">
      <w:pPr>
        <w:pStyle w:val="Default"/>
        <w:numPr>
          <w:ilvl w:val="0"/>
          <w:numId w:val="1"/>
        </w:numPr>
        <w:rPr>
          <w:color w:val="000000" w:themeColor="text1"/>
          <w:sz w:val="20"/>
          <w:szCs w:val="20"/>
          <w:rFonts w:ascii="Verdana" w:hAnsi="Verdana"/>
        </w:rPr>
      </w:pPr>
      <w:r>
        <w:rPr>
          <w:color w:val="000000" w:themeColor="text1"/>
          <w:sz w:val="20"/>
          <w:b/>
          <w:rFonts w:ascii="Verdana" w:hAnsi="Verdana"/>
        </w:rPr>
        <w:t xml:space="preserve">Malzeme Bileşimi</w:t>
      </w:r>
      <w:r>
        <w:rPr>
          <w:color w:val="000000" w:themeColor="text1"/>
          <w:sz w:val="20"/>
          <w:rFonts w:ascii="Verdana" w:hAnsi="Verdana"/>
        </w:rPr>
        <w:t xml:space="preserve">:</w:t>
      </w:r>
      <w:r>
        <w:rPr>
          <w:color w:val="000000" w:themeColor="text1"/>
          <w:sz w:val="20"/>
          <w:rFonts w:ascii="Verdana" w:hAnsi="Verdana"/>
        </w:rPr>
        <w:t xml:space="preserve"> </w:t>
      </w:r>
      <w:r>
        <w:rPr>
          <w:color w:val="000000" w:themeColor="text1"/>
          <w:sz w:val="20"/>
          <w:rFonts w:ascii="Verdana" w:hAnsi="Verdana"/>
        </w:rPr>
        <w:t xml:space="preserve">Fren diskleri, uygulamaya bağlı olarak dökme demir, paslanmaz çelik ve yumuşak çelikten üretilir ve dayanıklılık, güvenlik ve performans özelliklerine göre dikkatle seçilir.</w:t>
      </w:r>
    </w:p>
    <w:p w14:paraId="1403165C" w14:textId="7024F161" w:rsidR="00A43A3F" w:rsidRDefault="00A43A3F" w:rsidP="00A43A3F">
      <w:pPr>
        <w:pStyle w:val="Default"/>
        <w:numPr>
          <w:ilvl w:val="0"/>
          <w:numId w:val="1"/>
        </w:numPr>
        <w:rPr>
          <w:sz w:val="20"/>
          <w:szCs w:val="20"/>
          <w:rFonts w:ascii="Verdana" w:hAnsi="Verdana"/>
        </w:rPr>
      </w:pPr>
      <w:r>
        <w:rPr>
          <w:sz w:val="20"/>
          <w:b/>
          <w:bCs/>
          <w:rFonts w:ascii="Verdana" w:hAnsi="Verdana"/>
        </w:rPr>
        <w:t xml:space="preserve">Hedef Uygulamalar</w:t>
      </w:r>
      <w:r>
        <w:rPr>
          <w:sz w:val="20"/>
          <w:rFonts w:ascii="Verdana" w:hAnsi="Verdana"/>
        </w:rPr>
        <w:t xml:space="preserve">: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Bu fren diskleri, yolcu araçları, ticari araçlar, motosikletler için kullanılmaktadır.</w:t>
      </w:r>
    </w:p>
    <w:p w14:paraId="60596E8F" w14:textId="3C497F8E" w:rsidR="00422B2F" w:rsidRPr="00B8041C" w:rsidRDefault="00A43A3F" w:rsidP="00457D6F">
      <w:pPr>
        <w:pStyle w:val="Default"/>
        <w:numPr>
          <w:ilvl w:val="0"/>
          <w:numId w:val="1"/>
        </w:numPr>
        <w:rPr>
          <w:sz w:val="20"/>
          <w:szCs w:val="20"/>
          <w:rFonts w:ascii="Verdana" w:hAnsi="Verdana"/>
        </w:rPr>
      </w:pPr>
      <w:r>
        <w:rPr>
          <w:sz w:val="20"/>
          <w:b/>
          <w:bCs/>
          <w:rFonts w:ascii="Verdana" w:hAnsi="Verdana"/>
        </w:rPr>
        <w:t xml:space="preserve">Boyut ve Çeşitler</w:t>
      </w:r>
      <w:r>
        <w:rPr>
          <w:sz w:val="20"/>
          <w:rFonts w:ascii="Verdana" w:hAnsi="Verdana"/>
        </w:rPr>
        <w:t xml:space="preserve">: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Farklı araç modelleri ve frenleme sistemlerine uyacak şekilde çeşitli boyut ve tasarımlar bulunmaktadır.</w:t>
      </w:r>
    </w:p>
    <w:p w14:paraId="4C1A7A1B" w14:textId="77777777" w:rsidR="00422B2F" w:rsidRPr="00422B2F" w:rsidRDefault="00422B2F" w:rsidP="00457D6F">
      <w:pPr>
        <w:pStyle w:val="Default"/>
        <w:rPr>
          <w:rFonts w:ascii="Verdana" w:hAnsi="Verdana"/>
          <w:b/>
          <w:bCs/>
          <w:sz w:val="20"/>
          <w:szCs w:val="20"/>
        </w:rPr>
      </w:pPr>
    </w:p>
    <w:p w14:paraId="1F99607C" w14:textId="61F3413C" w:rsidR="00457D6F" w:rsidRPr="00422B2F" w:rsidRDefault="00457D6F" w:rsidP="00457D6F">
      <w:pPr>
        <w:pStyle w:val="Default"/>
        <w:rPr>
          <w:sz w:val="20"/>
          <w:szCs w:val="20"/>
          <w:rFonts w:ascii="Verdana" w:hAnsi="Verdana"/>
        </w:rPr>
      </w:pPr>
      <w:r>
        <w:rPr>
          <w:sz w:val="20"/>
          <w:b/>
          <w:bCs/>
          <w:rFonts w:ascii="Verdana" w:hAnsi="Verdana"/>
        </w:rPr>
        <w:t xml:space="preserve">Teknik Dokümantasyon</w:t>
      </w:r>
      <w:r>
        <w:rPr>
          <w:sz w:val="20"/>
          <w:rFonts w:ascii="Verdana" w:hAnsi="Verdana"/>
        </w:rPr>
        <w:t xml:space="preserve">: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Üretici, aşağıdakileri içeren ayrıntılı teknik dokümantasyonu muhafaza etmektedir:</w:t>
      </w:r>
    </w:p>
    <w:p w14:paraId="5A172A52" w14:textId="77777777" w:rsidR="00457D6F" w:rsidRPr="00422B2F" w:rsidRDefault="00457D6F" w:rsidP="00457D6F">
      <w:pPr>
        <w:pStyle w:val="Default"/>
        <w:rPr>
          <w:rFonts w:ascii="Verdana" w:hAnsi="Verdana"/>
          <w:sz w:val="20"/>
          <w:szCs w:val="20"/>
        </w:rPr>
      </w:pPr>
    </w:p>
    <w:p w14:paraId="45BF6B3F" w14:textId="77777777" w:rsidR="00457D6F" w:rsidRPr="00422B2F" w:rsidRDefault="00457D6F" w:rsidP="00457D6F">
      <w:pPr>
        <w:pStyle w:val="Default"/>
        <w:numPr>
          <w:ilvl w:val="0"/>
          <w:numId w:val="3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Tasarım ve üretim süreçleri.</w:t>
      </w:r>
    </w:p>
    <w:p w14:paraId="5B823976" w14:textId="77777777" w:rsidR="00457D6F" w:rsidRPr="00422B2F" w:rsidRDefault="00457D6F" w:rsidP="00457D6F">
      <w:pPr>
        <w:pStyle w:val="Default"/>
        <w:numPr>
          <w:ilvl w:val="0"/>
          <w:numId w:val="3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Güvenlik ve performans testlerinin sonuçları.</w:t>
      </w:r>
    </w:p>
    <w:p w14:paraId="2DE33B16" w14:textId="77777777" w:rsidR="00457D6F" w:rsidRPr="00422B2F" w:rsidRDefault="00457D6F" w:rsidP="00457D6F">
      <w:pPr>
        <w:pStyle w:val="Default"/>
        <w:numPr>
          <w:ilvl w:val="0"/>
          <w:numId w:val="3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Risk değerlendirmeleri ve risk azaltma önlemleri.</w:t>
      </w:r>
    </w:p>
    <w:p w14:paraId="015E7EF5" w14:textId="77777777" w:rsidR="00457D6F" w:rsidRPr="00422B2F" w:rsidRDefault="00457D6F" w:rsidP="00457D6F">
      <w:pPr>
        <w:pStyle w:val="Default"/>
        <w:numPr>
          <w:ilvl w:val="0"/>
          <w:numId w:val="3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Akredite test laboratuvarlarından alınan uygunluk sertifikaları.</w:t>
      </w:r>
    </w:p>
    <w:p w14:paraId="213926D1" w14:textId="77777777" w:rsidR="00457D6F" w:rsidRPr="00422B2F" w:rsidRDefault="00457D6F" w:rsidP="00457D6F">
      <w:pPr>
        <w:pStyle w:val="Default"/>
        <w:rPr>
          <w:rFonts w:ascii="Verdana" w:hAnsi="Verdana"/>
          <w:sz w:val="20"/>
          <w:szCs w:val="20"/>
        </w:rPr>
      </w:pPr>
    </w:p>
    <w:p w14:paraId="2892E10B" w14:textId="77777777" w:rsidR="00457D6F" w:rsidRPr="00422B2F" w:rsidRDefault="00457D6F" w:rsidP="00457D6F">
      <w:pPr>
        <w:pStyle w:val="Default"/>
        <w:rPr>
          <w:b/>
          <w:bCs/>
          <w:sz w:val="20"/>
          <w:szCs w:val="20"/>
          <w:u w:val="single"/>
          <w:rFonts w:ascii="Verdana" w:hAnsi="Verdana"/>
        </w:rPr>
      </w:pPr>
      <w:r>
        <w:rPr>
          <w:b/>
          <w:sz w:val="20"/>
          <w:u w:val="single"/>
          <w:rFonts w:ascii="Verdana" w:hAnsi="Verdana"/>
        </w:rPr>
        <w:t xml:space="preserve">Mevzuat</w:t>
      </w:r>
    </w:p>
    <w:p w14:paraId="0F455ACF" w14:textId="77777777" w:rsidR="00C3368F" w:rsidRDefault="00C3368F" w:rsidP="00457D6F">
      <w:pPr>
        <w:pStyle w:val="Default"/>
        <w:rPr>
          <w:rFonts w:ascii="Verdana" w:hAnsi="Verdana"/>
          <w:sz w:val="20"/>
          <w:szCs w:val="20"/>
        </w:rPr>
      </w:pPr>
    </w:p>
    <w:p w14:paraId="3BD117FF" w14:textId="3E52F31C" w:rsidR="00457D6F" w:rsidRPr="00422B2F" w:rsidRDefault="00457D6F" w:rsidP="00457D6F">
      <w:pPr>
        <w:pStyle w:val="Default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Aşağıda Mevzuatın bazı önemli maddeleri özetlenmiş olup, ürünlerimizin bu gerekliliklere nasıl uyduğunu göstermektedir:</w:t>
      </w:r>
    </w:p>
    <w:p w14:paraId="5F9257BB" w14:textId="77777777" w:rsidR="00457D6F" w:rsidRPr="00422B2F" w:rsidRDefault="00457D6F" w:rsidP="00457D6F">
      <w:pPr>
        <w:pStyle w:val="Default"/>
        <w:rPr>
          <w:rFonts w:ascii="Verdana" w:hAnsi="Verdana"/>
          <w:b/>
          <w:bCs/>
          <w:color w:val="auto"/>
          <w:sz w:val="20"/>
          <w:szCs w:val="20"/>
        </w:rPr>
      </w:pPr>
    </w:p>
    <w:p w14:paraId="0C3C8B09" w14:textId="77777777" w:rsidR="00457D6F" w:rsidRPr="00422B2F" w:rsidRDefault="00457D6F" w:rsidP="00457D6F">
      <w:pPr>
        <w:pStyle w:val="Default"/>
        <w:rPr>
          <w:b/>
          <w:bCs/>
          <w:color w:val="auto"/>
          <w:sz w:val="20"/>
          <w:szCs w:val="20"/>
          <w:rFonts w:ascii="Verdana" w:hAnsi="Verdana"/>
        </w:rPr>
      </w:pPr>
      <w:r>
        <w:rPr>
          <w:b/>
          <w:color w:val="auto"/>
          <w:sz w:val="20"/>
          <w:rFonts w:ascii="Verdana" w:hAnsi="Verdana"/>
        </w:rPr>
        <w:t xml:space="preserve">Madde 5</w:t>
      </w:r>
    </w:p>
    <w:p w14:paraId="09AE938B" w14:textId="77777777" w:rsidR="00457D6F" w:rsidRPr="00422B2F" w:rsidRDefault="00457D6F" w:rsidP="00457D6F">
      <w:pPr>
        <w:pStyle w:val="Default"/>
        <w:rPr>
          <w:color w:val="auto"/>
          <w:sz w:val="20"/>
          <w:szCs w:val="20"/>
          <w:rFonts w:ascii="Verdana" w:hAnsi="Verdana"/>
        </w:rPr>
      </w:pPr>
      <w:r>
        <w:rPr>
          <w:color w:val="auto"/>
          <w:sz w:val="20"/>
          <w:rFonts w:ascii="Verdana" w:hAnsi="Verdana"/>
        </w:rPr>
        <w:t xml:space="preserve">Genel güvenlik gerekliliği:</w:t>
      </w:r>
      <w:r>
        <w:rPr>
          <w:color w:val="auto"/>
          <w:sz w:val="20"/>
          <w:rFonts w:ascii="Verdana" w:hAnsi="Verdana"/>
        </w:rPr>
        <w:t xml:space="preserve"> </w:t>
      </w:r>
      <w:r>
        <w:rPr>
          <w:color w:val="auto"/>
          <w:sz w:val="20"/>
          <w:rFonts w:ascii="Verdana" w:hAnsi="Verdana"/>
        </w:rPr>
        <w:t xml:space="preserve">Bir ekonomik işletmeci olarak, yalnızca güvenli ürünleri piyasaya arz ediyor veya satışa sunuyoruz.</w:t>
      </w:r>
    </w:p>
    <w:p w14:paraId="095EE29D" w14:textId="77777777" w:rsidR="00457D6F" w:rsidRPr="00422B2F" w:rsidRDefault="00457D6F" w:rsidP="00457D6F">
      <w:pPr>
        <w:pStyle w:val="Default"/>
        <w:rPr>
          <w:rFonts w:ascii="Verdana" w:hAnsi="Verdana"/>
          <w:color w:val="auto"/>
          <w:sz w:val="20"/>
          <w:szCs w:val="20"/>
        </w:rPr>
      </w:pPr>
    </w:p>
    <w:p w14:paraId="18284D78" w14:textId="77777777" w:rsidR="00457D6F" w:rsidRPr="00422B2F" w:rsidRDefault="00457D6F" w:rsidP="00457D6F">
      <w:pPr>
        <w:pStyle w:val="Default"/>
        <w:rPr>
          <w:b/>
          <w:bCs/>
          <w:color w:val="auto"/>
          <w:sz w:val="20"/>
          <w:szCs w:val="20"/>
          <w:rFonts w:ascii="Verdana" w:hAnsi="Verdana"/>
        </w:rPr>
      </w:pPr>
      <w:r>
        <w:rPr>
          <w:b/>
          <w:color w:val="auto"/>
          <w:sz w:val="20"/>
          <w:rFonts w:ascii="Verdana" w:hAnsi="Verdana"/>
        </w:rPr>
        <w:t xml:space="preserve">Madde 6</w:t>
      </w:r>
    </w:p>
    <w:p w14:paraId="5D30C36B" w14:textId="77777777" w:rsidR="00457D6F" w:rsidRPr="00422B2F" w:rsidRDefault="00457D6F" w:rsidP="00457D6F">
      <w:pPr>
        <w:pStyle w:val="Default"/>
        <w:rPr>
          <w:sz w:val="20"/>
          <w:szCs w:val="20"/>
          <w:rFonts w:ascii="Verdana" w:hAnsi="Verdana"/>
        </w:rPr>
      </w:pPr>
      <w:r>
        <w:rPr>
          <w:sz w:val="20"/>
          <w:color w:val="auto"/>
          <w:rFonts w:ascii="Verdana" w:hAnsi="Verdana"/>
        </w:rPr>
        <w:t xml:space="preserve">Ürün güvenliğinin değerlendirilmesine yönelik hususlar:</w:t>
      </w:r>
      <w:r>
        <w:rPr>
          <w:sz w:val="20"/>
          <w:color w:val="auto"/>
          <w:rFonts w:ascii="Verdana" w:hAnsi="Verdana"/>
        </w:rPr>
        <w:t xml:space="preserve"> </w:t>
      </w:r>
      <w:r>
        <w:rPr>
          <w:sz w:val="20"/>
          <w:color w:val="auto"/>
          <w:rFonts w:ascii="Verdana" w:hAnsi="Verdana"/>
        </w:rPr>
        <w:t xml:space="preserve">Ürünlerimizin güvenli olup olmadığını değerlendirirken, ürünün tasarımı, </w:t>
      </w:r>
      <w:r>
        <w:rPr>
          <w:sz w:val="20"/>
          <w:rFonts w:ascii="Verdana" w:hAnsi="Verdana"/>
        </w:rPr>
        <w:t xml:space="preserve">teknik özellikleri, bileşimi, ambalajı, montaj talimatları ve ilgili durumlarda kurulum, kullanım ve bakım gibi unsurları dikkate alıyoruz.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Montaj talimatları hem ürünle birlikte sunulmakta hem de İnternet üzerinden erişilebilir durumdadır.</w:t>
      </w:r>
    </w:p>
    <w:p w14:paraId="32C5BD02" w14:textId="77777777" w:rsidR="00457D6F" w:rsidRPr="00422B2F" w:rsidRDefault="00457D6F" w:rsidP="00457D6F">
      <w:pPr>
        <w:pStyle w:val="Default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Ayrıca aşağıdaki ek hususları değerlendiriyoruz:</w:t>
      </w:r>
    </w:p>
    <w:p w14:paraId="66F0C719" w14:textId="5BECA899" w:rsidR="00457D6F" w:rsidRPr="00EB5263" w:rsidRDefault="00457D6F" w:rsidP="00457D6F">
      <w:pPr>
        <w:pStyle w:val="Default"/>
        <w:numPr>
          <w:ilvl w:val="0"/>
          <w:numId w:val="5"/>
        </w:numPr>
        <w:rPr>
          <w:color w:val="000000" w:themeColor="text1"/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Parçalarımız diğer bileşenler (örneğin </w:t>
      </w:r>
      <w:r>
        <w:rPr>
          <w:sz w:val="20"/>
          <w:color w:val="000000" w:themeColor="text1"/>
          <w:rFonts w:ascii="Verdana" w:hAnsi="Verdana"/>
        </w:rPr>
        <w:t xml:space="preserve">diskler ve kaliperler)</w:t>
      </w:r>
      <w:r>
        <w:rPr>
          <w:sz w:val="20"/>
          <w:rFonts w:ascii="Verdana" w:hAnsi="Verdana"/>
        </w:rPr>
        <w:t xml:space="preserve"> arasında bağlantı sağlayabileceği için, ürünlerimizin diğer ürünler üzerindeki etkisi.</w:t>
      </w:r>
    </w:p>
    <w:p w14:paraId="3E12EDF6" w14:textId="77777777" w:rsidR="00457D6F" w:rsidRPr="00422B2F" w:rsidRDefault="00457D6F" w:rsidP="00457D6F">
      <w:pPr>
        <w:pStyle w:val="Default"/>
        <w:numPr>
          <w:ilvl w:val="0"/>
          <w:numId w:val="5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Diğer ürünlerin, ürünlerimiz üzerinde makul ölçüde öngörülebilir etkileri.</w:t>
      </w:r>
    </w:p>
    <w:p w14:paraId="773FD513" w14:textId="77777777" w:rsidR="00457D6F" w:rsidRPr="00422B2F" w:rsidRDefault="00457D6F" w:rsidP="00457D6F">
      <w:pPr>
        <w:pStyle w:val="Default"/>
        <w:numPr>
          <w:ilvl w:val="0"/>
          <w:numId w:val="5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Güvenli kullanıma yönelik sunum, etiketleme, uyarılar ve talimatlar.</w:t>
      </w:r>
    </w:p>
    <w:p w14:paraId="66DE2A84" w14:textId="77777777" w:rsidR="00457D6F" w:rsidRPr="00422B2F" w:rsidRDefault="00457D6F" w:rsidP="00457D6F">
      <w:pPr>
        <w:pStyle w:val="Default"/>
        <w:numPr>
          <w:ilvl w:val="0"/>
          <w:numId w:val="5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Ürünlerimizin, engelli bireyler dahil olmak üzere çeşitli tüketici grupları için uygunluğu ve güvenlik etkileri.</w:t>
      </w:r>
    </w:p>
    <w:p w14:paraId="74120A74" w14:textId="77777777" w:rsidR="00457D6F" w:rsidRPr="00422B2F" w:rsidRDefault="00457D6F" w:rsidP="00457D6F">
      <w:pPr>
        <w:pStyle w:val="Default"/>
        <w:rPr>
          <w:rFonts w:ascii="Verdana" w:hAnsi="Verdana"/>
          <w:color w:val="auto"/>
          <w:sz w:val="20"/>
          <w:szCs w:val="20"/>
        </w:rPr>
      </w:pPr>
    </w:p>
    <w:p w14:paraId="5E6FB5FE" w14:textId="4FEE0545" w:rsidR="00457D6F" w:rsidRPr="00422B2F" w:rsidRDefault="00457D6F" w:rsidP="00457D6F">
      <w:pPr>
        <w:pStyle w:val="Default"/>
        <w:rPr>
          <w:b/>
          <w:bCs/>
          <w:color w:val="auto"/>
          <w:sz w:val="20"/>
          <w:szCs w:val="20"/>
          <w:rFonts w:ascii="Verdana" w:hAnsi="Verdana"/>
        </w:rPr>
      </w:pPr>
      <w:r>
        <w:rPr>
          <w:b/>
          <w:color w:val="auto"/>
          <w:sz w:val="20"/>
          <w:rFonts w:ascii="Verdana" w:hAnsi="Verdana"/>
        </w:rPr>
        <w:t xml:space="preserve">Madde 7 ve 8</w:t>
      </w:r>
    </w:p>
    <w:p w14:paraId="7EA5AF01" w14:textId="0D01D4CB" w:rsidR="00457D6F" w:rsidRDefault="00457D6F" w:rsidP="00457D6F">
      <w:pPr>
        <w:pStyle w:val="Default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Genel güvenlik gerekliliği ile uygunluk varsayımı:</w:t>
      </w:r>
      <w:r>
        <w:rPr>
          <w:sz w:val="20"/>
          <w:rFonts w:ascii="Verdana" w:hAnsi="Verdana"/>
        </w:rPr>
        <w:t xml:space="preserve"> </w:t>
      </w:r>
      <w:r>
        <w:rPr>
          <w:sz w:val="20"/>
          <w:rFonts w:ascii="Verdana" w:hAnsi="Verdana"/>
        </w:rPr>
        <w:t xml:space="preserve">Ürünlerimiz ilgili Avrupa Standartlarına ve Uluslararası Standartlara uygun olup, bağımsız testlerden geçirilmiştir.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Gerekli olduğu durumlarda, ürünlerimiz ECE Yönetmeliği 90, Çin Zorunlu Sertifikası, SAE J2975 ve SAE J661 ile TUV/KBA onaylarına sahiptir.</w:t>
      </w:r>
      <w:r>
        <w:rPr>
          <w:sz w:val="20"/>
          <w:rFonts w:ascii="Verdana" w:hAnsi="Verdana"/>
        </w:rPr>
        <w:t xml:space="preserve">  </w:t>
      </w:r>
      <w:r>
        <w:rPr>
          <w:sz w:val="20"/>
          <w:rFonts w:ascii="Verdana" w:hAnsi="Verdana"/>
        </w:rPr>
        <w:t xml:space="preserve">2000/53/EC sayılı Direktifte (Ömrünü Tamamlamış Araçlar) belirtilen limitlerin üzerinde tehlikeli maddeler bulunmamaktadır.</w:t>
      </w:r>
    </w:p>
    <w:p w14:paraId="2FAD1570" w14:textId="77777777" w:rsidR="00FA5EC1" w:rsidRDefault="00FA5EC1" w:rsidP="00FA5EC1">
      <w:pPr>
        <w:pStyle w:val="Default"/>
        <w:rPr>
          <w:rFonts w:ascii="Verdana" w:hAnsi="Verdana"/>
          <w:sz w:val="20"/>
          <w:szCs w:val="20"/>
        </w:rPr>
      </w:pPr>
    </w:p>
    <w:p w14:paraId="3537C27C" w14:textId="6CE86357" w:rsidR="00457D6F" w:rsidRPr="00422B2F" w:rsidRDefault="00457D6F" w:rsidP="00457D6F">
      <w:pPr>
        <w:pStyle w:val="Default"/>
        <w:rPr>
          <w:rFonts w:ascii="Verdana" w:hAnsi="Verdana"/>
          <w:sz w:val="20"/>
          <w:szCs w:val="20"/>
        </w:rPr>
      </w:pPr>
    </w:p>
    <w:p w14:paraId="372CD21C" w14:textId="77777777" w:rsidR="00457D6F" w:rsidRPr="00422B2F" w:rsidRDefault="00457D6F" w:rsidP="00457D6F">
      <w:pPr>
        <w:pStyle w:val="Default"/>
        <w:numPr>
          <w:ilvl w:val="0"/>
          <w:numId w:val="4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Ürünlerimiz AB standartlarına uygundur</w:t>
      </w:r>
      <w:r>
        <w:rPr>
          <w:sz w:val="20"/>
          <w:rFonts w:ascii="Verdana" w:hAnsi="Verdana"/>
        </w:rPr>
        <w:t xml:space="preserve"> </w:t>
      </w:r>
    </w:p>
    <w:p w14:paraId="0CC63F59" w14:textId="77777777" w:rsidR="00457D6F" w:rsidRPr="00422B2F" w:rsidRDefault="00457D6F" w:rsidP="00457D6F">
      <w:pPr>
        <w:pStyle w:val="Default"/>
        <w:numPr>
          <w:ilvl w:val="0"/>
          <w:numId w:val="4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İlgili uluslararası standartlara uymakta ve gerektiğinde özel testler için dış bilimsel kuruluşlardan destek almaktayız.</w:t>
      </w:r>
    </w:p>
    <w:p w14:paraId="2C78E265" w14:textId="77777777" w:rsidR="00457D6F" w:rsidRPr="00422B2F" w:rsidRDefault="00457D6F" w:rsidP="00457D6F">
      <w:pPr>
        <w:pStyle w:val="Default"/>
        <w:numPr>
          <w:ilvl w:val="0"/>
          <w:numId w:val="4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Ürünlerimiz, tüketici güvenliğini artırır ve zorlu koşullarda kendini kanıtlamıştır.</w:t>
      </w:r>
    </w:p>
    <w:p w14:paraId="349204D9" w14:textId="77777777" w:rsidR="00457D6F" w:rsidRPr="00422B2F" w:rsidRDefault="00457D6F" w:rsidP="00457D6F">
      <w:pPr>
        <w:pStyle w:val="Default"/>
        <w:rPr>
          <w:rFonts w:ascii="Verdana" w:hAnsi="Verdana"/>
          <w:sz w:val="20"/>
          <w:szCs w:val="20"/>
        </w:rPr>
      </w:pPr>
    </w:p>
    <w:p w14:paraId="60D0CF99" w14:textId="77777777" w:rsidR="00457D6F" w:rsidRPr="00422B2F" w:rsidRDefault="00457D6F" w:rsidP="00457D6F">
      <w:pPr>
        <w:pStyle w:val="Default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Bu</w:t>
      </w:r>
      <w:r>
        <w:rPr>
          <w:sz w:val="20"/>
          <w:b/>
          <w:bCs/>
          <w:rFonts w:ascii="Verdana" w:hAnsi="Verdana"/>
        </w:rPr>
        <w:t xml:space="preserve"> Üretim Uygunluk Beyanı</w:t>
      </w:r>
      <w:r>
        <w:rPr>
          <w:sz w:val="20"/>
          <w:rFonts w:ascii="Verdana" w:hAnsi="Verdana"/>
        </w:rPr>
        <w:t xml:space="preserve">, ürünlerimizin </w:t>
      </w:r>
      <w:r>
        <w:rPr>
          <w:sz w:val="20"/>
          <w:b/>
          <w:bCs/>
          <w:rFonts w:ascii="Verdana" w:hAnsi="Verdana"/>
        </w:rPr>
        <w:t xml:space="preserve">Genel Ürün Güvenliği Yönetmeliği</w:t>
      </w:r>
      <w:r>
        <w:rPr>
          <w:sz w:val="20"/>
          <w:rFonts w:ascii="Verdana" w:hAnsi="Verdana"/>
        </w:rPr>
        <w:t xml:space="preserve">'ne uygun olduğunu ve normal koşullar altında tüketiciler tarafından güvenle kullanılabileceğini doğrulamak amacıyla hazırlanmıştır.</w:t>
      </w:r>
    </w:p>
    <w:p w14:paraId="45B90775" w14:textId="77777777" w:rsidR="00457D6F" w:rsidRPr="00422B2F" w:rsidRDefault="00457D6F" w:rsidP="00457D6F">
      <w:pPr>
        <w:pStyle w:val="Default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Üretilen tüm ürünler, düzenleyici standartlara uygun olarak test edilmiştir ve izlenebilir durumdadır. Üretim süreçlerini kontrol eden sistemler, tanınmış kuruluşlar tarafından dış denetimlere tabidir.</w:t>
      </w:r>
    </w:p>
    <w:p w14:paraId="665FFC67" w14:textId="77777777" w:rsidR="00457D6F" w:rsidRPr="00422B2F" w:rsidRDefault="00457D6F" w:rsidP="00457D6F">
      <w:pPr>
        <w:pStyle w:val="Default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Bu beyan şunları içerir:</w:t>
      </w:r>
    </w:p>
    <w:p w14:paraId="0B62E0A6" w14:textId="77777777" w:rsidR="00457D6F" w:rsidRPr="00422B2F" w:rsidRDefault="00457D6F" w:rsidP="00457D6F">
      <w:pPr>
        <w:pStyle w:val="Default"/>
        <w:numPr>
          <w:ilvl w:val="0"/>
          <w:numId w:val="2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Ürünün teknik özellikleri.</w:t>
      </w:r>
    </w:p>
    <w:p w14:paraId="6B5102FD" w14:textId="77777777" w:rsidR="00457D6F" w:rsidRPr="00422B2F" w:rsidRDefault="00457D6F" w:rsidP="00457D6F">
      <w:pPr>
        <w:pStyle w:val="Default"/>
        <w:numPr>
          <w:ilvl w:val="0"/>
          <w:numId w:val="2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Güvenlik değerlendirme sürecinin tanımı.</w:t>
      </w:r>
    </w:p>
    <w:p w14:paraId="1DEC9714" w14:textId="77777777" w:rsidR="00457D6F" w:rsidRPr="00422B2F" w:rsidRDefault="00457D6F" w:rsidP="00457D6F">
      <w:pPr>
        <w:pStyle w:val="Default"/>
        <w:numPr>
          <w:ilvl w:val="0"/>
          <w:numId w:val="2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Ürünün güvenliğini değerlendirmek için kullanılan standartların tanımlanması.</w:t>
      </w:r>
    </w:p>
    <w:p w14:paraId="186C94CA" w14:textId="77777777" w:rsidR="00457D6F" w:rsidRPr="00422B2F" w:rsidRDefault="00457D6F" w:rsidP="00457D6F">
      <w:pPr>
        <w:pStyle w:val="Default"/>
        <w:numPr>
          <w:ilvl w:val="0"/>
          <w:numId w:val="2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Üreticinin bilgileri ve iletişim bilgileri.</w:t>
      </w:r>
    </w:p>
    <w:p w14:paraId="1894B78B" w14:textId="77777777" w:rsidR="00457D6F" w:rsidRDefault="00457D6F" w:rsidP="00457D6F">
      <w:pPr>
        <w:rPr>
          <w:rFonts w:ascii="Verdana" w:hAnsi="Verdana" w:cs="Arial"/>
          <w:color w:val="000000"/>
          <w:sz w:val="20"/>
          <w:szCs w:val="20"/>
          <w:lang w:val="en-GB"/>
        </w:rPr>
      </w:pPr>
    </w:p>
    <w:p w14:paraId="1BB922A9" w14:textId="77777777" w:rsidR="008E1B2A" w:rsidRPr="00422B2F" w:rsidRDefault="008E1B2A" w:rsidP="00457D6F">
      <w:pPr>
        <w:rPr>
          <w:rFonts w:ascii="Verdana" w:hAnsi="Verdana" w:cs="Arial"/>
          <w:color w:val="000000"/>
          <w:sz w:val="20"/>
          <w:szCs w:val="20"/>
          <w:lang w:val="en-GB"/>
        </w:rPr>
      </w:pPr>
    </w:p>
    <w:tbl>
      <w:tblPr>
        <w:tblStyle w:val="TableGrid"/>
        <w:tblW w:w="0" w:type="auto"/>
        <w:tblInd w:w="1688" w:type="dxa"/>
        <w:tblLook w:val="04A0" w:firstRow="1" w:lastRow="0" w:firstColumn="1" w:lastColumn="0" w:noHBand="0" w:noVBand="1"/>
      </w:tblPr>
      <w:tblGrid>
        <w:gridCol w:w="1559"/>
        <w:gridCol w:w="2127"/>
        <w:gridCol w:w="3685"/>
      </w:tblGrid>
      <w:tr w:rsidR="00457D6F" w:rsidRPr="00422B2F" w14:paraId="27EC4A20" w14:textId="77777777" w:rsidTr="008C705A">
        <w:tc>
          <w:tcPr>
            <w:tcW w:w="1559" w:type="dxa"/>
          </w:tcPr>
          <w:p w14:paraId="10A7E360" w14:textId="77777777" w:rsidR="00457D6F" w:rsidRPr="00C3368F" w:rsidRDefault="00457D6F" w:rsidP="00DE10C3">
            <w:pPr>
              <w:rPr>
                <w:color w:val="000000"/>
                <w:sz w:val="96"/>
                <w:szCs w:val="96"/>
                <w:rFonts w:ascii="Verdana" w:hAnsi="Verdana" w:cs="Arial"/>
              </w:rPr>
            </w:pPr>
            <w:bookmarkStart w:id="2" w:name="_Hlk187826583"/>
            <w:r>
              <w:rPr>
                <w:color w:val="000000"/>
                <w:sz w:val="96"/>
                <w:rFonts w:ascii="Verdana" w:hAnsi="Verdana"/>
              </w:rPr>
              <w:t xml:space="preserve">AB</w:t>
            </w:r>
          </w:p>
        </w:tc>
        <w:tc>
          <w:tcPr>
            <w:tcW w:w="2127" w:type="dxa"/>
          </w:tcPr>
          <w:p w14:paraId="13CA8D81" w14:textId="77777777" w:rsidR="00457D6F" w:rsidRPr="00C3368F" w:rsidRDefault="00457D6F" w:rsidP="00DE10C3">
            <w:pPr>
              <w:rPr>
                <w:color w:val="000000"/>
                <w:sz w:val="96"/>
                <w:szCs w:val="96"/>
                <w:rFonts w:ascii="Verdana" w:hAnsi="Verdana" w:cs="Arial"/>
              </w:rPr>
            </w:pPr>
            <w:r>
              <w:rPr>
                <w:color w:val="000000"/>
                <w:sz w:val="96"/>
                <w:rFonts w:ascii="Verdana" w:hAnsi="Verdana"/>
              </w:rPr>
              <w:t xml:space="preserve">TEM</w:t>
            </w:r>
          </w:p>
        </w:tc>
        <w:tc>
          <w:tcPr>
            <w:tcW w:w="3685" w:type="dxa"/>
          </w:tcPr>
          <w:p w14:paraId="5CA3471B" w14:textId="77777777" w:rsidR="00457D6F" w:rsidRPr="00422B2F" w:rsidRDefault="00457D6F" w:rsidP="00DE10C3">
            <w:pPr>
              <w:rPr>
                <w:color w:val="000000"/>
                <w:sz w:val="20"/>
                <w:szCs w:val="20"/>
                <w:rFonts w:ascii="Verdana" w:hAnsi="Verdana" w:cs="Arial"/>
              </w:rPr>
            </w:pPr>
            <w:r>
              <w:rPr>
                <w:color w:val="000000"/>
                <w:sz w:val="20"/>
                <w:rFonts w:ascii="Verdana" w:hAnsi="Verdana"/>
              </w:rPr>
              <w:t xml:space="preserve">EBC Brakes Germany e.K.</w:t>
            </w:r>
          </w:p>
          <w:p w14:paraId="7EEBCE51" w14:textId="77777777" w:rsidR="00457D6F" w:rsidRPr="00422B2F" w:rsidRDefault="00457D6F" w:rsidP="00DE10C3">
            <w:pPr>
              <w:rPr>
                <w:color w:val="000000"/>
                <w:sz w:val="20"/>
                <w:szCs w:val="20"/>
                <w:rFonts w:ascii="Verdana" w:hAnsi="Verdana" w:cs="Arial"/>
              </w:rPr>
            </w:pPr>
            <w:r>
              <w:rPr>
                <w:color w:val="000000"/>
                <w:sz w:val="20"/>
                <w:rFonts w:ascii="Verdana" w:hAnsi="Verdana"/>
              </w:rPr>
              <w:t xml:space="preserve">Hertha-Sponer-Str.9</w:t>
            </w:r>
          </w:p>
          <w:p w14:paraId="3756EEC4" w14:textId="77777777" w:rsidR="00457D6F" w:rsidRPr="00422B2F" w:rsidRDefault="00457D6F" w:rsidP="00DE10C3">
            <w:pPr>
              <w:rPr>
                <w:color w:val="000000"/>
                <w:sz w:val="20"/>
                <w:szCs w:val="20"/>
                <w:rFonts w:ascii="Verdana" w:hAnsi="Verdana" w:cs="Arial"/>
              </w:rPr>
            </w:pPr>
            <w:r>
              <w:rPr>
                <w:color w:val="000000"/>
                <w:sz w:val="20"/>
                <w:rFonts w:ascii="Verdana" w:hAnsi="Verdana"/>
              </w:rPr>
              <w:t xml:space="preserve">28816 Stuhr</w:t>
            </w:r>
          </w:p>
          <w:p w14:paraId="1D129A11" w14:textId="77777777" w:rsidR="00457D6F" w:rsidRPr="00422B2F" w:rsidRDefault="00457D6F" w:rsidP="00DE10C3">
            <w:pPr>
              <w:rPr>
                <w:color w:val="000000"/>
                <w:sz w:val="20"/>
                <w:szCs w:val="20"/>
                <w:rFonts w:ascii="Verdana" w:hAnsi="Verdana" w:cs="Arial"/>
              </w:rPr>
            </w:pPr>
            <w:r>
              <w:rPr>
                <w:color w:val="000000"/>
                <w:sz w:val="20"/>
                <w:rFonts w:ascii="Verdana" w:hAnsi="Verdana"/>
              </w:rPr>
              <w:t xml:space="preserve">Almanya</w:t>
            </w:r>
          </w:p>
          <w:p w14:paraId="6DAD2EE0" w14:textId="77777777" w:rsidR="00457D6F" w:rsidRPr="00422B2F" w:rsidRDefault="00457D6F" w:rsidP="00DE10C3">
            <w:pPr>
              <w:rPr>
                <w:color w:val="000000"/>
                <w:sz w:val="20"/>
                <w:szCs w:val="20"/>
                <w:rFonts w:ascii="Verdana" w:hAnsi="Verdana" w:cs="Arial"/>
              </w:rPr>
            </w:pPr>
            <w:hyperlink r:id="rId7" w:history="1">
              <w:r>
                <w:rPr>
                  <w:rStyle w:val="Hyperlink"/>
                  <w:sz w:val="20"/>
                  <w:rFonts w:ascii="Verdana" w:hAnsi="Verdana"/>
                </w:rPr>
                <w:t xml:space="preserve">info@ebc-brakes.de</w:t>
              </w:r>
            </w:hyperlink>
          </w:p>
        </w:tc>
      </w:tr>
      <w:bookmarkEnd w:id="2"/>
    </w:tbl>
    <w:p w14:paraId="47AB2DA9" w14:textId="1F3CC4AB" w:rsidR="0034349A" w:rsidRPr="0034349A" w:rsidRDefault="0034349A" w:rsidP="008B3C98"/>
    <w:sectPr w:rsidR="0034349A" w:rsidRPr="0034349A" w:rsidSect="00CD0BFD">
      <w:headerReference w:type="default" r:id="rId8"/>
      <w:footerReference w:type="default" r:id="rId9"/>
      <w:pgSz w:w="11900" w:h="16840"/>
      <w:pgMar w:top="3260" w:right="560" w:bottom="1440" w:left="567" w:header="2835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C7A45" w14:textId="77777777" w:rsidR="0027329A" w:rsidRDefault="0027329A">
      <w:r>
        <w:separator/>
      </w:r>
    </w:p>
  </w:endnote>
  <w:endnote w:type="continuationSeparator" w:id="0">
    <w:p w14:paraId="5CABC79E" w14:textId="77777777" w:rsidR="0027329A" w:rsidRDefault="00273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84010" w14:textId="77777777" w:rsidR="0034349A" w:rsidRDefault="0034349A">
    <w:pPr>
      <w:pStyle w:val="Footer"/>
    </w:pPr>
    <w:r>
      <w:drawing>
        <wp:anchor distT="0" distB="0" distL="114300" distR="114300" simplePos="0" relativeHeight="251661312" behindDoc="0" locked="0" layoutInCell="1" allowOverlap="1" wp14:anchorId="389845DD" wp14:editId="44BD0634">
          <wp:simplePos x="0" y="0"/>
          <wp:positionH relativeFrom="page">
            <wp:posOffset>18415</wp:posOffset>
          </wp:positionH>
          <wp:positionV relativeFrom="page">
            <wp:posOffset>9994900</wp:posOffset>
          </wp:positionV>
          <wp:extent cx="7518400" cy="694690"/>
          <wp:effectExtent l="0" t="0" r="0" b="0"/>
          <wp:wrapTight wrapText="bothSides">
            <wp:wrapPolygon edited="0">
              <wp:start x="0" y="0"/>
              <wp:lineTo x="0" y="20534"/>
              <wp:lineTo x="21527" y="20534"/>
              <wp:lineTo x="21527" y="0"/>
              <wp:lineTo x="0" y="0"/>
            </wp:wrapPolygon>
          </wp:wrapTight>
          <wp:docPr id="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 head bottom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8400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08C44" w14:textId="77777777" w:rsidR="0027329A" w:rsidRDefault="0027329A">
      <w:r>
        <w:separator/>
      </w:r>
    </w:p>
  </w:footnote>
  <w:footnote w:type="continuationSeparator" w:id="0">
    <w:p w14:paraId="42C6D7CE" w14:textId="77777777" w:rsidR="0027329A" w:rsidRDefault="00273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9B167" w14:textId="77777777" w:rsidR="0034349A" w:rsidRDefault="0034349A">
    <w:pPr>
      <w:pStyle w:val="Header"/>
    </w:pPr>
    <w:bookmarkStart w:id="3" w:name="_MacBuGuideStaticData_15480H"/>
    <w:bookmarkStart w:id="4" w:name="_MacBuGuideStaticData_2940H"/>
    <w:r>
      <w:drawing>
        <wp:anchor distT="0" distB="0" distL="114300" distR="114300" simplePos="0" relativeHeight="251659264" behindDoc="0" locked="0" layoutInCell="1" allowOverlap="1" wp14:anchorId="1ED9C529" wp14:editId="236D7117">
          <wp:simplePos x="0" y="0"/>
          <wp:positionH relativeFrom="page">
            <wp:posOffset>12700</wp:posOffset>
          </wp:positionH>
          <wp:positionV relativeFrom="page">
            <wp:posOffset>7620</wp:posOffset>
          </wp:positionV>
          <wp:extent cx="7556500" cy="1850390"/>
          <wp:effectExtent l="0" t="0" r="12700" b="3810"/>
          <wp:wrapTight wrapText="bothSides">
            <wp:wrapPolygon edited="0">
              <wp:start x="0" y="0"/>
              <wp:lineTo x="0" y="21348"/>
              <wp:lineTo x="21564" y="21348"/>
              <wp:lineTo x="21564" y="0"/>
              <wp:lineTo x="0" y="0"/>
            </wp:wrapPolygon>
          </wp:wrapTight>
          <wp:docPr id="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 head - head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85039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bookmarkEnd w:id="3"/>
  <w:bookmarkEnd w:id="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31C4D"/>
    <w:multiLevelType w:val="hybridMultilevel"/>
    <w:tmpl w:val="F676A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02A28"/>
    <w:multiLevelType w:val="hybridMultilevel"/>
    <w:tmpl w:val="16DE9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322B2B"/>
    <w:multiLevelType w:val="hybridMultilevel"/>
    <w:tmpl w:val="AFE0A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185C5A"/>
    <w:multiLevelType w:val="hybridMultilevel"/>
    <w:tmpl w:val="6712A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173719"/>
    <w:multiLevelType w:val="hybridMultilevel"/>
    <w:tmpl w:val="EE001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37DA3"/>
    <w:multiLevelType w:val="multilevel"/>
    <w:tmpl w:val="5ED0E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8360426">
    <w:abstractNumId w:val="5"/>
  </w:num>
  <w:num w:numId="2" w16cid:durableId="662273965">
    <w:abstractNumId w:val="3"/>
  </w:num>
  <w:num w:numId="3" w16cid:durableId="1726220157">
    <w:abstractNumId w:val="4"/>
  </w:num>
  <w:num w:numId="4" w16cid:durableId="1156533830">
    <w:abstractNumId w:val="0"/>
  </w:num>
  <w:num w:numId="5" w16cid:durableId="1488594627">
    <w:abstractNumId w:val="1"/>
  </w:num>
  <w:num w:numId="6" w16cid:durableId="20309837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dirty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howStaticGuides" w:val="1"/>
  </w:docVars>
  <w:rsids>
    <w:rsidRoot w:val="00796927"/>
    <w:rsid w:val="000317CF"/>
    <w:rsid w:val="000515D9"/>
    <w:rsid w:val="00070AE7"/>
    <w:rsid w:val="000B6B6E"/>
    <w:rsid w:val="001336DA"/>
    <w:rsid w:val="001756F6"/>
    <w:rsid w:val="0027329A"/>
    <w:rsid w:val="002912A5"/>
    <w:rsid w:val="002D3BC0"/>
    <w:rsid w:val="003135BD"/>
    <w:rsid w:val="0034349A"/>
    <w:rsid w:val="00364973"/>
    <w:rsid w:val="003A61EE"/>
    <w:rsid w:val="00422B2F"/>
    <w:rsid w:val="00440998"/>
    <w:rsid w:val="00457D6F"/>
    <w:rsid w:val="00493DDA"/>
    <w:rsid w:val="00543258"/>
    <w:rsid w:val="005F1BE0"/>
    <w:rsid w:val="0060174C"/>
    <w:rsid w:val="00631450"/>
    <w:rsid w:val="006D7849"/>
    <w:rsid w:val="00756968"/>
    <w:rsid w:val="0076728F"/>
    <w:rsid w:val="00796927"/>
    <w:rsid w:val="007A6444"/>
    <w:rsid w:val="007D609F"/>
    <w:rsid w:val="00852ABA"/>
    <w:rsid w:val="008A6AAC"/>
    <w:rsid w:val="008B3C98"/>
    <w:rsid w:val="008B7672"/>
    <w:rsid w:val="008C705A"/>
    <w:rsid w:val="008E1B2A"/>
    <w:rsid w:val="009062E7"/>
    <w:rsid w:val="00947215"/>
    <w:rsid w:val="009E28F9"/>
    <w:rsid w:val="00A3223E"/>
    <w:rsid w:val="00A43A3F"/>
    <w:rsid w:val="00A45109"/>
    <w:rsid w:val="00B41328"/>
    <w:rsid w:val="00B62364"/>
    <w:rsid w:val="00B8041C"/>
    <w:rsid w:val="00C22CFC"/>
    <w:rsid w:val="00C3368F"/>
    <w:rsid w:val="00C377CA"/>
    <w:rsid w:val="00C74A23"/>
    <w:rsid w:val="00CD0BFD"/>
    <w:rsid w:val="00D16C56"/>
    <w:rsid w:val="00DF580E"/>
    <w:rsid w:val="00E0218E"/>
    <w:rsid w:val="00E136F5"/>
    <w:rsid w:val="00E15225"/>
    <w:rsid w:val="00E72389"/>
    <w:rsid w:val="00E73A8D"/>
    <w:rsid w:val="00E81C4C"/>
    <w:rsid w:val="00E93B01"/>
    <w:rsid w:val="00EB5263"/>
    <w:rsid w:val="00ED0854"/>
    <w:rsid w:val="00F13684"/>
    <w:rsid w:val="00F63F49"/>
    <w:rsid w:val="00FA5EC1"/>
    <w:rsid w:val="00FD18A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0233544"/>
  <w15:docId w15:val="{95D05DBA-CFD4-B444-94B4-9D28016E3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E5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692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69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969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6927"/>
    <w:rPr>
      <w:sz w:val="24"/>
      <w:szCs w:val="24"/>
    </w:rPr>
  </w:style>
  <w:style w:type="character" w:customStyle="1" w:styleId="viewbox">
    <w:name w:val="viewbox"/>
    <w:basedOn w:val="DefaultParagraphFont"/>
    <w:rsid w:val="00A45109"/>
  </w:style>
  <w:style w:type="character" w:styleId="Hyperlink">
    <w:name w:val="Hyperlink"/>
    <w:basedOn w:val="DefaultParagraphFont"/>
    <w:rsid w:val="00457D6F"/>
    <w:rPr>
      <w:color w:val="0000FF"/>
      <w:u w:val="single"/>
    </w:rPr>
  </w:style>
  <w:style w:type="paragraph" w:customStyle="1" w:styleId="Default">
    <w:name w:val="Default"/>
    <w:rsid w:val="00457D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tr-TR"/>
    </w:rPr>
  </w:style>
  <w:style w:type="table" w:styleId="TableGrid">
    <w:name w:val="Table Grid"/>
    <w:basedOn w:val="TableNormal"/>
    <w:uiPriority w:val="59"/>
    <w:rsid w:val="00457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ebc-brakes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727</Words>
  <Characters>4150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Freeman Automotive (UK) Ltd</Company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Brown</dc:creator>
  <cp:lastModifiedBy>Kate Williamson</cp:lastModifiedBy>
  <cp:revision>2</cp:revision>
  <cp:lastPrinted>2015-11-24T11:44:00Z</cp:lastPrinted>
  <dcterms:created xsi:type="dcterms:W3CDTF">2025-02-07T11:20:00Z</dcterms:created>
  <dcterms:modified xsi:type="dcterms:W3CDTF">2025-02-07T11:20:00Z</dcterms:modified>
</cp:coreProperties>
</file>